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D3C06" w14:textId="77777777" w:rsidR="00F371ED" w:rsidRPr="00142674" w:rsidRDefault="00A66AF7" w:rsidP="00F371ED">
      <w:pPr>
        <w:pStyle w:val="Title"/>
        <w:rPr>
          <w:sz w:val="56"/>
        </w:rPr>
      </w:pPr>
      <w:r w:rsidRPr="00142674">
        <w:rPr>
          <w:sz w:val="56"/>
        </w:rPr>
        <w:t>Destwerdana Derve ya di Civakê de</w:t>
      </w:r>
    </w:p>
    <w:p w14:paraId="56646368" w14:textId="77777777" w:rsidR="00142674" w:rsidRDefault="00142674" w:rsidP="00F371ED">
      <w:pPr>
        <w:pStyle w:val="IssueDateURL"/>
      </w:pPr>
    </w:p>
    <w:p w14:paraId="64467395" w14:textId="77777777" w:rsidR="00742E59" w:rsidRDefault="00A66AF7" w:rsidP="00F371ED">
      <w:pPr>
        <w:pStyle w:val="IssueDateURL"/>
        <w:rPr>
          <w:rStyle w:val="FooterChar"/>
        </w:rPr>
      </w:pPr>
      <w:r w:rsidRPr="00A66AF7">
        <w:t>Meriv çawa gef û tehdî</w:t>
      </w:r>
      <w:r>
        <w:t>dên hukûmetên biyanî radigihîne</w:t>
      </w:r>
      <w:r w:rsidR="00742E59" w:rsidRPr="002F1C7B">
        <w:rPr>
          <w:rStyle w:val="FooterChar"/>
        </w:rPr>
        <w:t xml:space="preserve"> </w:t>
      </w:r>
    </w:p>
    <w:p w14:paraId="7DCCFD0F" w14:textId="77777777" w:rsidR="00F371ED" w:rsidRPr="00D57CCF" w:rsidRDefault="00F371ED" w:rsidP="00F371ED">
      <w:pPr>
        <w:pStyle w:val="IssueDateURL"/>
      </w:pPr>
      <w:r w:rsidRPr="002F1C7B">
        <w:rPr>
          <w:rStyle w:val="Strong"/>
        </w:rPr>
        <w:t>FACTSHEET</w:t>
      </w:r>
      <w:r>
        <w:t xml:space="preserve">  </w:t>
      </w:r>
      <w:r w:rsidRPr="00D57CCF">
        <w:rPr>
          <w:rStyle w:val="BoldRed"/>
        </w:rPr>
        <w:t>/</w:t>
      </w:r>
      <w:r>
        <w:t xml:space="preserve">  </w:t>
      </w:r>
      <w:r w:rsidR="00A66AF7">
        <w:t>April</w:t>
      </w:r>
      <w:r>
        <w:t xml:space="preserve"> </w:t>
      </w:r>
      <w:r w:rsidR="00742E59">
        <w:t>2023</w:t>
      </w:r>
      <w:r>
        <w:tab/>
      </w:r>
      <w:r w:rsidRPr="002F1C7B">
        <w:rPr>
          <w:rStyle w:val="Strong"/>
        </w:rPr>
        <w:t>afp.gov.au</w:t>
      </w:r>
    </w:p>
    <w:p w14:paraId="3C1511CD" w14:textId="77777777" w:rsidR="004B59E3" w:rsidRPr="00F371ED" w:rsidRDefault="004B59E3" w:rsidP="00F371ED">
      <w:pPr>
        <w:pStyle w:val="Spacer-pg1"/>
      </w:pPr>
    </w:p>
    <w:p w14:paraId="0F58A7F0" w14:textId="77777777" w:rsidR="004B59E3" w:rsidRPr="004B59E3" w:rsidRDefault="004B59E3" w:rsidP="00F371ED">
      <w:pPr>
        <w:spacing w:after="360"/>
        <w:sectPr w:rsidR="004B59E3" w:rsidRPr="004B59E3"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572F5A15" w14:textId="77777777" w:rsidR="00A66AF7" w:rsidRPr="007D1F16" w:rsidRDefault="00A66AF7" w:rsidP="00A66AF7">
      <w:pPr>
        <w:pStyle w:val="Heading1"/>
        <w:rPr>
          <w:lang w:val="sv-SE"/>
        </w:rPr>
      </w:pPr>
      <w:r w:rsidRPr="007D1F16">
        <w:rPr>
          <w:lang w:val="sv-SE"/>
        </w:rPr>
        <w:t>Pêşkêşî</w:t>
      </w:r>
    </w:p>
    <w:p w14:paraId="4E9FC4CD" w14:textId="77777777" w:rsidR="00A66AF7" w:rsidRPr="00867265" w:rsidRDefault="00A66AF7" w:rsidP="00A66AF7">
      <w:pPr>
        <w:rPr>
          <w:lang w:val="sv-SE"/>
        </w:rPr>
      </w:pPr>
      <w:r w:rsidRPr="00867265">
        <w:rPr>
          <w:lang w:val="sv-SE"/>
        </w:rPr>
        <w:t>Destwerdana biyanî ji bo gelê Ustralya, serwerî û ewlehiya, û yekparebûna saziyên me yên neteweyî xeterek cidî nîşan dide. Gefên destwerdana biyanî ne li ser yek sektora civaka Ustralyayê ne û ne jî ji hêla yek netewe-dewletê ve têne kirin. A</w:t>
      </w:r>
      <w:r>
        <w:rPr>
          <w:lang w:val="sv-SE"/>
        </w:rPr>
        <w:t>lîy</w:t>
      </w:r>
      <w:r w:rsidRPr="00867265">
        <w:rPr>
          <w:lang w:val="sv-SE"/>
        </w:rPr>
        <w:t>ên dewletên biyanî yên dijminkar (welatên ku li dijî welatên din çalakiyên dijminane pêk tînin) derfetan diafirînin û dişopînin ku di hemû astên hikûmetê de û li ser gelek sektoran destwerdana biryarderên Ustralya bikin, di nav de: saziyên demokratîk; perwerde û lêkolîn; medya û ragihandin; binesaziyên girîng, civakên me yên pirreng ên çandî û zimanî (CALD).</w:t>
      </w:r>
    </w:p>
    <w:p w14:paraId="624DB8E6" w14:textId="77777777" w:rsidR="00A66AF7" w:rsidRPr="007D1F16" w:rsidRDefault="00A66AF7" w:rsidP="00A66AF7">
      <w:pPr>
        <w:pStyle w:val="Heading1"/>
      </w:pPr>
      <w:r w:rsidRPr="00A66AF7">
        <w:t>Destwerdana</w:t>
      </w:r>
      <w:r w:rsidRPr="007D1F16">
        <w:t xml:space="preserve"> biyanî di civakê de</w:t>
      </w:r>
    </w:p>
    <w:p w14:paraId="5ABB33E2" w14:textId="77777777" w:rsidR="00A66AF7" w:rsidRPr="00927B63" w:rsidRDefault="00A66AF7" w:rsidP="00A66AF7">
      <w:pPr>
        <w:rPr>
          <w:lang w:val="sv-SE"/>
        </w:rPr>
      </w:pPr>
      <w:r w:rsidRPr="00867265">
        <w:rPr>
          <w:lang w:val="sv-SE"/>
        </w:rPr>
        <w:t xml:space="preserve">Destwerdana biyanî ya di civakê de wekî gef û tehdîdên ku ji hêla hukûmetên biyanî ve têne rêve kirin, çavdêrîkirin an dirav kirin û li hember civakên CALD têne armanc kirin ji bo ku bibe sedema zirar û bandorê li awayê jiyana pirçandî ya Usturalya tê pênase kirin. </w:t>
      </w:r>
      <w:r w:rsidRPr="00927B63">
        <w:rPr>
          <w:lang w:val="sv-SE"/>
        </w:rPr>
        <w:t>Hikûmetên biyanî dikarin ji bo çend armancan destwerdana civakan bikin:</w:t>
      </w:r>
    </w:p>
    <w:p w14:paraId="5AC24742" w14:textId="77777777" w:rsidR="00A66AF7" w:rsidRPr="005B1D8F" w:rsidRDefault="00A66AF7" w:rsidP="00A66AF7">
      <w:pPr>
        <w:pStyle w:val="ListBullet"/>
        <w:rPr>
          <w:lang w:val="sv-SE"/>
        </w:rPr>
      </w:pPr>
      <w:r w:rsidRPr="005B1D8F">
        <w:rPr>
          <w:lang w:val="sv-SE"/>
        </w:rPr>
        <w:t>ji bo bêdengkirina rexneyên li ser siyaseta navxweyî û derve ya hikûmeta biyanî</w:t>
      </w:r>
    </w:p>
    <w:p w14:paraId="6A3486DD" w14:textId="77777777" w:rsidR="00A66AF7" w:rsidRPr="005B1D8F" w:rsidRDefault="00A66AF7" w:rsidP="00A66AF7">
      <w:pPr>
        <w:pStyle w:val="ListBullet"/>
        <w:rPr>
          <w:lang w:val="sv-SE"/>
        </w:rPr>
      </w:pPr>
      <w:r w:rsidRPr="005B1D8F">
        <w:rPr>
          <w:lang w:val="sv-SE"/>
        </w:rPr>
        <w:t>ji bo şopandina çalakiyên (offline û online) yên endamên komên CALD</w:t>
      </w:r>
    </w:p>
    <w:p w14:paraId="7C26CEF5" w14:textId="77777777" w:rsidR="00A66AF7" w:rsidRPr="005B1D8F" w:rsidRDefault="00A66AF7" w:rsidP="00A66AF7">
      <w:pPr>
        <w:pStyle w:val="ListBullet"/>
        <w:rPr>
          <w:lang w:val="sv-SE"/>
        </w:rPr>
      </w:pPr>
      <w:r w:rsidRPr="005B1D8F">
        <w:rPr>
          <w:lang w:val="sv-SE"/>
        </w:rPr>
        <w:t>ji bo pêşxistina nêrîn û siyaseta hikûmeta biyanî</w:t>
      </w:r>
    </w:p>
    <w:p w14:paraId="77DE84D0" w14:textId="77777777" w:rsidR="00A66AF7" w:rsidRPr="005B1D8F" w:rsidRDefault="00A66AF7" w:rsidP="00A66AF7">
      <w:pPr>
        <w:pStyle w:val="ListBullet"/>
        <w:rPr>
          <w:lang w:val="sv-SE"/>
        </w:rPr>
      </w:pPr>
      <w:r w:rsidRPr="005B1D8F">
        <w:rPr>
          <w:lang w:val="sv-SE"/>
        </w:rPr>
        <w:t>ji bo berjewendiya hikûmeta biyanî agahiyê bi dest bixin</w:t>
      </w:r>
    </w:p>
    <w:p w14:paraId="2E9A0A7D" w14:textId="77777777" w:rsidR="00A66AF7" w:rsidRPr="005B1D8F" w:rsidRDefault="00A66AF7" w:rsidP="00A66AF7">
      <w:pPr>
        <w:pStyle w:val="ListBullet"/>
        <w:rPr>
          <w:lang w:val="sv-SE"/>
        </w:rPr>
      </w:pPr>
      <w:r w:rsidRPr="005B1D8F">
        <w:rPr>
          <w:lang w:val="sv-SE"/>
        </w:rPr>
        <w:t>ku bandorê li dîtin û ramanên xelkên berfireh bike.</w:t>
      </w:r>
    </w:p>
    <w:p w14:paraId="669118AD" w14:textId="77777777" w:rsidR="00A66AF7" w:rsidRPr="00A66AF7" w:rsidRDefault="00A66AF7" w:rsidP="00A66AF7">
      <w:pPr>
        <w:pStyle w:val="Heading1"/>
      </w:pPr>
      <w:r w:rsidRPr="00A66AF7">
        <w:t>Destwerdana biyanî ya di nav civakê de dibe ku gelek awayan pêk bîne</w:t>
      </w:r>
    </w:p>
    <w:p w14:paraId="676C98AF" w14:textId="77777777" w:rsidR="00A66AF7" w:rsidRPr="00927B63" w:rsidRDefault="00A66AF7" w:rsidP="00A66AF7">
      <w:pPr>
        <w:rPr>
          <w:lang w:val="sv-SE"/>
        </w:rPr>
      </w:pPr>
      <w:r>
        <w:rPr>
          <w:lang w:val="sv-SE"/>
        </w:rPr>
        <w:t>Di navde</w:t>
      </w:r>
      <w:r w:rsidRPr="00927B63">
        <w:rPr>
          <w:lang w:val="sv-SE"/>
        </w:rPr>
        <w:t>:</w:t>
      </w:r>
    </w:p>
    <w:p w14:paraId="4C2A6ABC" w14:textId="77777777" w:rsidR="00A66AF7" w:rsidRPr="005B1D8F" w:rsidRDefault="00A66AF7" w:rsidP="00A66AF7">
      <w:pPr>
        <w:pStyle w:val="ListBullet"/>
        <w:rPr>
          <w:lang w:val="sv-SE"/>
        </w:rPr>
      </w:pPr>
      <w:r w:rsidRPr="005B1D8F">
        <w:rPr>
          <w:lang w:val="sv-SE"/>
        </w:rPr>
        <w:t>Êrîş an jî gefên êrîşê</w:t>
      </w:r>
    </w:p>
    <w:p w14:paraId="124D7D20" w14:textId="77777777" w:rsidR="00A66AF7" w:rsidRPr="005B1D8F" w:rsidRDefault="00A66AF7" w:rsidP="00A66AF7">
      <w:pPr>
        <w:pStyle w:val="ListBullet"/>
        <w:rPr>
          <w:lang w:val="sv-SE"/>
        </w:rPr>
      </w:pPr>
      <w:r w:rsidRPr="005B1D8F">
        <w:rPr>
          <w:lang w:val="sv-SE"/>
        </w:rPr>
        <w:t>Xûkxwazî</w:t>
      </w:r>
    </w:p>
    <w:p w14:paraId="41C5EB66" w14:textId="77777777" w:rsidR="00A66AF7" w:rsidRPr="005B1D8F" w:rsidRDefault="00A66AF7" w:rsidP="00A66AF7">
      <w:pPr>
        <w:pStyle w:val="ListBullet"/>
        <w:rPr>
          <w:lang w:val="sv-SE"/>
        </w:rPr>
      </w:pPr>
      <w:r w:rsidRPr="005B1D8F">
        <w:rPr>
          <w:lang w:val="sv-SE"/>
        </w:rPr>
        <w:t>Revandin, binçavkirina neqanûnî an bêparkirina azadiyê</w:t>
      </w:r>
    </w:p>
    <w:p w14:paraId="60E4796D" w14:textId="77777777" w:rsidR="00A66AF7" w:rsidRPr="005B1D8F" w:rsidRDefault="00A66AF7" w:rsidP="00A66AF7">
      <w:pPr>
        <w:pStyle w:val="ListBullet"/>
        <w:rPr>
          <w:lang w:val="sv-SE"/>
        </w:rPr>
      </w:pPr>
      <w:r w:rsidRPr="005B1D8F">
        <w:rPr>
          <w:lang w:val="sv-SE"/>
        </w:rPr>
        <w:t>Çavdêriya laşî an elektronîkî ya nedilxwaz û şopandin</w:t>
      </w:r>
    </w:p>
    <w:p w14:paraId="38132E7A" w14:textId="77777777" w:rsidR="00A66AF7" w:rsidRPr="005B1D8F" w:rsidRDefault="00A66AF7" w:rsidP="00A66AF7">
      <w:pPr>
        <w:pStyle w:val="ListBullet"/>
        <w:rPr>
          <w:lang w:val="sv-SE"/>
        </w:rPr>
      </w:pPr>
      <w:r w:rsidRPr="005B1D8F">
        <w:rPr>
          <w:lang w:val="sv-SE"/>
        </w:rPr>
        <w:t>Bi darê zorê yekî bi gefxwarina malbat an jî hevkarên wan li derveyî welat ji bo ku wan neçar bike ku bicîh bînin</w:t>
      </w:r>
    </w:p>
    <w:p w14:paraId="52EADD07" w14:textId="77777777" w:rsidR="00A66AF7" w:rsidRPr="005B1D8F" w:rsidRDefault="00A66AF7" w:rsidP="00A66AF7">
      <w:pPr>
        <w:pStyle w:val="ListBullet"/>
        <w:rPr>
          <w:lang w:val="sv-SE"/>
        </w:rPr>
      </w:pPr>
      <w:r w:rsidRPr="005B1D8F">
        <w:rPr>
          <w:lang w:val="sv-SE"/>
        </w:rPr>
        <w:t>Kampanyayên zanyarîrnedirustê yên serhêl bi riya medyaya civakî ji bo bêrûmetkirina kesek an komekê.</w:t>
      </w:r>
    </w:p>
    <w:p w14:paraId="172E462A" w14:textId="77777777" w:rsidR="00A66AF7" w:rsidRPr="00927B63" w:rsidRDefault="00A66AF7" w:rsidP="00A66AF7">
      <w:pPr>
        <w:rPr>
          <w:lang w:val="sv-SE"/>
        </w:rPr>
      </w:pPr>
    </w:p>
    <w:p w14:paraId="65466CF5" w14:textId="77777777" w:rsidR="00A66AF7" w:rsidRPr="005B1D8F" w:rsidRDefault="00A66AF7" w:rsidP="00A66AF7">
      <w:pPr>
        <w:rPr>
          <w:lang w:val="sv-SE"/>
        </w:rPr>
      </w:pPr>
      <w:r w:rsidRPr="00927B63">
        <w:rPr>
          <w:lang w:val="sv-SE"/>
        </w:rPr>
        <w:lastRenderedPageBreak/>
        <w:t xml:space="preserve">Ya girîng, ji bo ku li gorî Qanûna Cezayê ya 1995 (Cth) destwerdana biyanî pêk bîne, </w:t>
      </w:r>
      <w:r w:rsidRPr="00F84CD7">
        <w:rPr>
          <w:u w:val="single"/>
          <w:lang w:val="sv-SE"/>
        </w:rPr>
        <w:t xml:space="preserve">divê </w:t>
      </w:r>
      <w:r w:rsidRPr="00927B63">
        <w:rPr>
          <w:lang w:val="sv-SE"/>
        </w:rPr>
        <w:t xml:space="preserve">çalakî bi hukûmetek biyanî an nûnerê wê ve were girêdan. Di nirxandina sûcdariyê de, ajansên bicihanîna qanûnê jî dikarin sûcên </w:t>
      </w:r>
      <w:r>
        <w:rPr>
          <w:lang w:val="sv-SE"/>
        </w:rPr>
        <w:t>di</w:t>
      </w:r>
      <w:r w:rsidRPr="00927B63">
        <w:rPr>
          <w:lang w:val="sv-SE"/>
        </w:rPr>
        <w:t xml:space="preserve"> </w:t>
      </w:r>
      <w:r>
        <w:rPr>
          <w:lang w:val="sv-SE"/>
        </w:rPr>
        <w:t>U</w:t>
      </w:r>
      <w:r w:rsidRPr="00927B63">
        <w:rPr>
          <w:lang w:val="sv-SE"/>
        </w:rPr>
        <w:t xml:space="preserve">sturalya an </w:t>
      </w:r>
      <w:r>
        <w:rPr>
          <w:lang w:val="sv-SE"/>
        </w:rPr>
        <w:t>h</w:t>
      </w:r>
      <w:r w:rsidRPr="00927B63">
        <w:rPr>
          <w:lang w:val="sv-SE"/>
        </w:rPr>
        <w:t>erêmî jî binirxînin.</w:t>
      </w:r>
    </w:p>
    <w:p w14:paraId="59CED994" w14:textId="77777777" w:rsidR="00A66AF7" w:rsidRPr="00A66AF7" w:rsidRDefault="00A66AF7" w:rsidP="00A66AF7">
      <w:pPr>
        <w:pStyle w:val="Heading1"/>
      </w:pPr>
      <w:r w:rsidRPr="00A66AF7">
        <w:t>Kî tê armanj girtin?</w:t>
      </w:r>
    </w:p>
    <w:p w14:paraId="6F7DF627" w14:textId="77777777" w:rsidR="00A66AF7" w:rsidRPr="00927B63" w:rsidRDefault="00A66AF7" w:rsidP="00A66AF7">
      <w:pPr>
        <w:rPr>
          <w:lang w:val="sv-SE"/>
        </w:rPr>
      </w:pPr>
      <w:r w:rsidRPr="00927B63">
        <w:rPr>
          <w:lang w:val="sv-SE"/>
        </w:rPr>
        <w:t>Hikûmetên biyanî dikarin armanc bikin:</w:t>
      </w:r>
    </w:p>
    <w:p w14:paraId="4E592BE1" w14:textId="77777777" w:rsidR="00A66AF7" w:rsidRPr="005B1D8F" w:rsidRDefault="00A66AF7" w:rsidP="00A66AF7">
      <w:pPr>
        <w:pStyle w:val="ListBullet"/>
        <w:rPr>
          <w:lang w:val="sv-SE"/>
        </w:rPr>
      </w:pPr>
      <w:r w:rsidRPr="005B1D8F">
        <w:rPr>
          <w:lang w:val="sv-SE"/>
        </w:rPr>
        <w:t>Hemwelatiyên berê an niha yên ku li Usturalya dijîn</w:t>
      </w:r>
    </w:p>
    <w:p w14:paraId="4DF53E5D" w14:textId="77777777" w:rsidR="00A66AF7" w:rsidRPr="005B1D8F" w:rsidRDefault="00A66AF7" w:rsidP="00A66AF7">
      <w:pPr>
        <w:pStyle w:val="ListBullet"/>
        <w:rPr>
          <w:lang w:val="sv-SE"/>
        </w:rPr>
      </w:pPr>
      <w:r w:rsidRPr="005B1D8F">
        <w:rPr>
          <w:lang w:val="sv-SE"/>
        </w:rPr>
        <w:t>Çalakvanên siyasî û mafên mirovan</w:t>
      </w:r>
    </w:p>
    <w:p w14:paraId="546657A4" w14:textId="77777777" w:rsidR="00A66AF7" w:rsidRPr="005B1D8F" w:rsidRDefault="00A66AF7" w:rsidP="00A66AF7">
      <w:pPr>
        <w:pStyle w:val="ListBullet"/>
        <w:rPr>
          <w:lang w:val="sv-SE"/>
        </w:rPr>
      </w:pPr>
      <w:r w:rsidRPr="005B1D8F">
        <w:rPr>
          <w:lang w:val="sv-SE"/>
        </w:rPr>
        <w:t>Muxalifên</w:t>
      </w:r>
    </w:p>
    <w:p w14:paraId="753D10F5" w14:textId="77777777" w:rsidR="00A66AF7" w:rsidRPr="005B1D8F" w:rsidRDefault="00A66AF7" w:rsidP="00A66AF7">
      <w:pPr>
        <w:pStyle w:val="ListBullet"/>
        <w:rPr>
          <w:lang w:val="sv-SE"/>
        </w:rPr>
      </w:pPr>
      <w:r w:rsidRPr="005B1D8F">
        <w:rPr>
          <w:lang w:val="sv-SE"/>
        </w:rPr>
        <w:t>Rojnamevan</w:t>
      </w:r>
    </w:p>
    <w:p w14:paraId="42C073CD" w14:textId="77777777" w:rsidR="00A66AF7" w:rsidRPr="005B1D8F" w:rsidRDefault="00A66AF7" w:rsidP="00A66AF7">
      <w:pPr>
        <w:pStyle w:val="ListBullet"/>
        <w:rPr>
          <w:lang w:val="sv-SE"/>
        </w:rPr>
      </w:pPr>
      <w:r w:rsidRPr="005B1D8F">
        <w:rPr>
          <w:lang w:val="sv-SE"/>
        </w:rPr>
        <w:t>Neyarên siyasî</w:t>
      </w:r>
    </w:p>
    <w:p w14:paraId="6C274F6B" w14:textId="77777777" w:rsidR="00A66AF7" w:rsidRPr="005B1D8F" w:rsidRDefault="00A66AF7" w:rsidP="00A66AF7">
      <w:pPr>
        <w:pStyle w:val="ListBullet"/>
        <w:rPr>
          <w:lang w:val="sv-SE"/>
        </w:rPr>
      </w:pPr>
      <w:r w:rsidRPr="005B1D8F">
        <w:rPr>
          <w:lang w:val="sv-SE"/>
        </w:rPr>
        <w:t>Komên kêmîneyên olî an etnîkî.</w:t>
      </w:r>
    </w:p>
    <w:p w14:paraId="3B1EB4CE" w14:textId="77777777" w:rsidR="00A66AF7" w:rsidRPr="00A66AF7" w:rsidRDefault="00A66AF7" w:rsidP="00A66AF7">
      <w:pPr>
        <w:pStyle w:val="Heading1"/>
      </w:pPr>
      <w:r w:rsidRPr="00A66AF7">
        <w:t>Ez dikarim çi bikim ku alîkariyê bikim?</w:t>
      </w:r>
    </w:p>
    <w:p w14:paraId="240B2345" w14:textId="77777777" w:rsidR="00A66AF7" w:rsidRPr="00927B63" w:rsidRDefault="00A66AF7" w:rsidP="00A66AF7">
      <w:pPr>
        <w:rPr>
          <w:lang w:val="sv-SE"/>
        </w:rPr>
      </w:pPr>
      <w:r w:rsidRPr="00927B63">
        <w:rPr>
          <w:lang w:val="sv-SE"/>
        </w:rPr>
        <w:t>Digel ku ne hemî raporên destwerdana biyanî di civatê de dê bersivek eşkere ya AFP-ê çê</w:t>
      </w:r>
      <w:r>
        <w:rPr>
          <w:lang w:val="sv-SE"/>
        </w:rPr>
        <w:t>d</w:t>
      </w:r>
      <w:r w:rsidRPr="00927B63">
        <w:rPr>
          <w:lang w:val="sv-SE"/>
        </w:rPr>
        <w:t xml:space="preserve">ike, her rapor ji bo avakirina </w:t>
      </w:r>
      <w:r w:rsidRPr="00144B1F">
        <w:rPr>
          <w:b/>
          <w:bCs/>
          <w:lang w:val="sv-SE"/>
        </w:rPr>
        <w:t>wêneyek pirsgirêkên derketine</w:t>
      </w:r>
      <w:r w:rsidRPr="00927B63">
        <w:rPr>
          <w:lang w:val="sv-SE"/>
        </w:rPr>
        <w:t xml:space="preserve"> dibe alîkar.</w:t>
      </w:r>
    </w:p>
    <w:p w14:paraId="5A54DF23" w14:textId="77777777" w:rsidR="00A66AF7" w:rsidRPr="00927B63" w:rsidRDefault="00A66AF7" w:rsidP="00A66AF7">
      <w:pPr>
        <w:rPr>
          <w:lang w:val="sv-SE"/>
        </w:rPr>
      </w:pPr>
      <w:r w:rsidRPr="00927B63">
        <w:rPr>
          <w:lang w:val="sv-SE"/>
        </w:rPr>
        <w:t xml:space="preserve">Her fikar û / an bûyerên destwerdana biyanî di civakê de dikare ji </w:t>
      </w:r>
      <w:r w:rsidRPr="00144B1F">
        <w:rPr>
          <w:b/>
          <w:bCs/>
          <w:lang w:val="sv-SE"/>
        </w:rPr>
        <w:t>Xeta Ewlekariya Neteweyî (NSH)</w:t>
      </w:r>
      <w:r w:rsidRPr="00927B63">
        <w:rPr>
          <w:lang w:val="sv-SE"/>
        </w:rPr>
        <w:t xml:space="preserve"> re were ragihandin.</w:t>
      </w:r>
    </w:p>
    <w:p w14:paraId="05013017" w14:textId="77777777" w:rsidR="00A66AF7" w:rsidRPr="005B1D8F" w:rsidRDefault="00A66AF7" w:rsidP="00A66AF7">
      <w:pPr>
        <w:pStyle w:val="ListBullet"/>
        <w:rPr>
          <w:lang w:val="sv-SE"/>
        </w:rPr>
      </w:pPr>
      <w:r w:rsidRPr="005B1D8F">
        <w:rPr>
          <w:lang w:val="sv-SE"/>
        </w:rPr>
        <w:t>NSH 24 saetên rojê, 7 rojên hefteyê kar dike û ji bo raporkirina fikarên ser destwerdana biyanî ya muhtemel a di nav civakê de, xala bingehîn a têkiliyê ye.</w:t>
      </w:r>
    </w:p>
    <w:p w14:paraId="199E84D3" w14:textId="77777777" w:rsidR="00A66AF7" w:rsidRPr="005B1D8F" w:rsidRDefault="00A66AF7" w:rsidP="00A66AF7">
      <w:pPr>
        <w:pStyle w:val="ListBullet"/>
        <w:rPr>
          <w:lang w:val="sv-SE"/>
        </w:rPr>
      </w:pPr>
      <w:r w:rsidRPr="005B1D8F">
        <w:rPr>
          <w:lang w:val="sv-SE"/>
        </w:rPr>
        <w:t>Operatorên NSH dê zanibin ku bi agahdariya ku hûn didin çi bikin, û li cîhê ku guncan be, ew ê ji bo nirxandinê ji sazûmanên qanûnî û ewlehiyê re derbas bikin.</w:t>
      </w:r>
    </w:p>
    <w:p w14:paraId="715A5B68" w14:textId="77777777" w:rsidR="00A66AF7" w:rsidRPr="005B1D8F" w:rsidRDefault="00A66AF7" w:rsidP="00A66AF7">
      <w:pPr>
        <w:pStyle w:val="ListBullet"/>
        <w:rPr>
          <w:lang w:val="sv-SE"/>
        </w:rPr>
      </w:pPr>
      <w:r w:rsidRPr="005B1D8F">
        <w:rPr>
          <w:lang w:val="sv-SE"/>
        </w:rPr>
        <w:t>Operatorên NSH her bangek ciddî digirin û qîmetê didin hemî agahdariya wergirtî.</w:t>
      </w:r>
    </w:p>
    <w:p w14:paraId="32718CEF" w14:textId="77777777" w:rsidR="00A66AF7" w:rsidRPr="005B1D8F" w:rsidRDefault="00A66AF7" w:rsidP="00A66AF7">
      <w:pPr>
        <w:pStyle w:val="ListBullet"/>
        <w:rPr>
          <w:lang w:val="sv-SE"/>
        </w:rPr>
      </w:pPr>
      <w:r w:rsidRPr="005B1D8F">
        <w:rPr>
          <w:lang w:val="sv-SE"/>
        </w:rPr>
        <w:t>Em dizanin ku raporkirina mijarek xemgîn dikare bibe gavek mezin. Em mafê we yê nepenîtiyê ciddî digirin. Ji kerema xwe ji operatorê re bêje ka hûn dixwazin nenas bimînin.</w:t>
      </w:r>
    </w:p>
    <w:p w14:paraId="493872E2" w14:textId="77777777" w:rsidR="00A66AF7" w:rsidRPr="005B1D8F" w:rsidRDefault="00A66AF7" w:rsidP="00A66AF7">
      <w:pPr>
        <w:pStyle w:val="ListBullet"/>
        <w:rPr>
          <w:lang w:val="sv-SE"/>
        </w:rPr>
      </w:pPr>
      <w:r w:rsidRPr="005B1D8F">
        <w:rPr>
          <w:lang w:val="sv-SE"/>
        </w:rPr>
        <w:t>Ji ber xwezaya hesas a agahiyê, hûn ê li ser encama bang an email ê xwe şîret negirin.</w:t>
      </w:r>
    </w:p>
    <w:p w14:paraId="159C1B93" w14:textId="77777777" w:rsidR="00A66AF7" w:rsidRPr="00927B63" w:rsidRDefault="00A66AF7" w:rsidP="00A66AF7">
      <w:pPr>
        <w:spacing w:before="120" w:after="120"/>
        <w:rPr>
          <w:lang w:val="sv-SE"/>
        </w:rPr>
      </w:pPr>
      <w:r w:rsidRPr="00927B63">
        <w:rPr>
          <w:lang w:val="sv-SE"/>
        </w:rPr>
        <w:t>Agahiyên ku hûn didin dibe ku perçeyek wenda be ku AFP hewce dike ku pêşî li destwerdana biyanî di civakê de bigire.</w:t>
      </w:r>
    </w:p>
    <w:p w14:paraId="20DA9738" w14:textId="77777777" w:rsidR="00A66AF7" w:rsidRPr="00927B63" w:rsidRDefault="00A66AF7" w:rsidP="00A66AF7">
      <w:pPr>
        <w:spacing w:before="240" w:after="240"/>
        <w:rPr>
          <w:lang w:val="sv-SE"/>
        </w:rPr>
      </w:pPr>
      <w:r w:rsidRPr="00927B63">
        <w:rPr>
          <w:lang w:val="sv-SE"/>
        </w:rPr>
        <w:t xml:space="preserve">Gelek awayên ku hûn bi </w:t>
      </w:r>
      <w:r w:rsidRPr="003A7F84">
        <w:rPr>
          <w:b/>
          <w:bCs/>
          <w:lang w:val="sv-SE"/>
        </w:rPr>
        <w:t>NSH</w:t>
      </w:r>
      <w:r w:rsidRPr="00927B63">
        <w:rPr>
          <w:lang w:val="sv-SE"/>
        </w:rPr>
        <w:t xml:space="preserve"> re têkilî daynin hene:</w:t>
      </w:r>
    </w:p>
    <w:p w14:paraId="7CE7F763" w14:textId="77777777" w:rsidR="00A66AF7" w:rsidRPr="00142674" w:rsidRDefault="00A66AF7" w:rsidP="00A66AF7">
      <w:pPr>
        <w:pStyle w:val="ListBullet"/>
        <w:rPr>
          <w:b/>
          <w:lang w:val="sv-SE"/>
        </w:rPr>
      </w:pPr>
      <w:r w:rsidRPr="00142674">
        <w:rPr>
          <w:b/>
          <w:lang w:val="sv-SE"/>
        </w:rPr>
        <w:t>Telefon: 1800 123 400</w:t>
      </w:r>
    </w:p>
    <w:p w14:paraId="6A0A8C12" w14:textId="77777777" w:rsidR="00A66AF7" w:rsidRPr="003A7F84" w:rsidRDefault="00A66AF7" w:rsidP="00A66AF7">
      <w:pPr>
        <w:pStyle w:val="ListBullet2"/>
        <w:rPr>
          <w:lang w:val="sv-SE"/>
        </w:rPr>
      </w:pPr>
      <w:r w:rsidRPr="003A7F84">
        <w:rPr>
          <w:lang w:val="sv-SE"/>
        </w:rPr>
        <w:t>Ji derveyî Usturalya: (+61) 1300 123 401</w:t>
      </w:r>
    </w:p>
    <w:p w14:paraId="31AC792A" w14:textId="77777777" w:rsidR="00A66AF7" w:rsidRPr="003A7F84" w:rsidRDefault="00A66AF7" w:rsidP="00A66AF7">
      <w:pPr>
        <w:pStyle w:val="ListBullet2"/>
        <w:rPr>
          <w:lang w:val="sv-SE"/>
        </w:rPr>
      </w:pPr>
      <w:r w:rsidRPr="003A7F84">
        <w:rPr>
          <w:lang w:val="sv-SE"/>
        </w:rPr>
        <w:t>Ji bo bikarhênerên TTY (bikarhênerên astengdar ên bihîstinê): 1800 234 889</w:t>
      </w:r>
    </w:p>
    <w:p w14:paraId="40B105F1" w14:textId="77777777" w:rsidR="00A66AF7" w:rsidRPr="00A66AF7" w:rsidRDefault="00A66AF7" w:rsidP="00A66AF7">
      <w:pPr>
        <w:pStyle w:val="ListBullet2"/>
        <w:rPr>
          <w:b/>
          <w:lang w:val="sv-SE"/>
        </w:rPr>
      </w:pPr>
      <w:r w:rsidRPr="00A66AF7">
        <w:rPr>
          <w:b/>
          <w:lang w:val="sv-SE"/>
        </w:rPr>
        <w:t>Ger hewcedariya we bi wergêrek hebe, ji kerema xwe telefonî Xizmeta Wergerandin û Wergerandinê li ser 131 450 bikin û ji wan bipirsin ku telefonê Xeta Ewlekariya Neteweyî bikin.</w:t>
      </w:r>
    </w:p>
    <w:p w14:paraId="623DC58A" w14:textId="77777777" w:rsidR="00A66AF7" w:rsidRPr="00142674" w:rsidRDefault="00A66AF7" w:rsidP="00A66AF7">
      <w:pPr>
        <w:pStyle w:val="ListBullet"/>
        <w:rPr>
          <w:b/>
          <w:lang w:val="sv-SE"/>
        </w:rPr>
      </w:pPr>
      <w:r w:rsidRPr="00142674">
        <w:rPr>
          <w:b/>
          <w:lang w:val="sv-SE"/>
        </w:rPr>
        <w:t>SMS</w:t>
      </w:r>
    </w:p>
    <w:p w14:paraId="76D03AE9" w14:textId="799889D7" w:rsidR="00A66AF7" w:rsidRDefault="00A66AF7" w:rsidP="00A66AF7">
      <w:pPr>
        <w:pStyle w:val="ListBullet2"/>
        <w:rPr>
          <w:lang w:val="sv-SE"/>
        </w:rPr>
      </w:pPr>
      <w:r w:rsidRPr="003A7F84">
        <w:rPr>
          <w:lang w:val="sv-SE"/>
        </w:rPr>
        <w:t xml:space="preserve">Ji kerema xwe agahdariya xwe bi rêya peyama nivîskî ji </w:t>
      </w:r>
      <w:r w:rsidR="00BE1F1E" w:rsidRPr="00BE1F1E">
        <w:rPr>
          <w:lang w:val="sv-SE"/>
        </w:rPr>
        <w:t>0498 562 549</w:t>
      </w:r>
      <w:r w:rsidR="00BE1F1E">
        <w:rPr>
          <w:lang w:val="sv-SE"/>
        </w:rPr>
        <w:t xml:space="preserve"> </w:t>
      </w:r>
      <w:r w:rsidRPr="003A7F84">
        <w:rPr>
          <w:lang w:val="sv-SE"/>
        </w:rPr>
        <w:t>re bişînin</w:t>
      </w:r>
    </w:p>
    <w:p w14:paraId="2D70FF8C" w14:textId="77777777" w:rsidR="00A66AF7" w:rsidRPr="003A7F84" w:rsidRDefault="00A66AF7" w:rsidP="00A66AF7">
      <w:pPr>
        <w:pStyle w:val="ListBullet2"/>
        <w:numPr>
          <w:ilvl w:val="0"/>
          <w:numId w:val="0"/>
        </w:numPr>
        <w:ind w:left="360"/>
        <w:rPr>
          <w:lang w:val="sv-SE"/>
        </w:rPr>
      </w:pPr>
    </w:p>
    <w:p w14:paraId="63085DEC" w14:textId="77777777" w:rsidR="00A66AF7" w:rsidRPr="00142674" w:rsidRDefault="00A66AF7" w:rsidP="00A66AF7">
      <w:pPr>
        <w:pStyle w:val="ListBullet"/>
        <w:rPr>
          <w:b/>
          <w:lang w:val="sv-SE"/>
        </w:rPr>
      </w:pPr>
      <w:r w:rsidRPr="00142674">
        <w:rPr>
          <w:b/>
          <w:lang w:val="sv-SE"/>
        </w:rPr>
        <w:lastRenderedPageBreak/>
        <w:t>Email</w:t>
      </w:r>
    </w:p>
    <w:p w14:paraId="53080C30" w14:textId="77777777" w:rsidR="00A66AF7" w:rsidRPr="00927B63" w:rsidRDefault="00A66AF7" w:rsidP="00A66AF7">
      <w:pPr>
        <w:pStyle w:val="ListBullet2"/>
        <w:rPr>
          <w:lang w:val="sv-SE"/>
        </w:rPr>
      </w:pPr>
      <w:r w:rsidRPr="00927B63">
        <w:rPr>
          <w:lang w:val="sv-SE"/>
        </w:rPr>
        <w:t>Ji kerema xwe agahdariya xwe bi e</w:t>
      </w:r>
      <w:r>
        <w:rPr>
          <w:lang w:val="sv-SE"/>
        </w:rPr>
        <w:t xml:space="preserve">mail </w:t>
      </w:r>
      <w:r w:rsidRPr="00927B63">
        <w:rPr>
          <w:lang w:val="sv-SE"/>
        </w:rPr>
        <w:t xml:space="preserve">ê bişînin: </w:t>
      </w:r>
      <w:hyperlink r:id="rId12" w:history="1">
        <w:r w:rsidRPr="00043C3A">
          <w:rPr>
            <w:rStyle w:val="Hyperlink"/>
            <w:rFonts w:cstheme="minorHAnsi"/>
            <w:lang w:val="sv-SE"/>
          </w:rPr>
          <w:t>hotline@nationalsecurity.gov.au</w:t>
        </w:r>
      </w:hyperlink>
    </w:p>
    <w:p w14:paraId="76C86507" w14:textId="77777777" w:rsidR="00A66AF7" w:rsidRPr="003A7F84" w:rsidRDefault="00A66AF7" w:rsidP="00A66AF7">
      <w:pPr>
        <w:pStyle w:val="ListBullet"/>
        <w:rPr>
          <w:lang w:val="sv-SE"/>
        </w:rPr>
      </w:pPr>
      <w:r w:rsidRPr="00142674">
        <w:rPr>
          <w:b/>
          <w:lang w:val="sv-SE"/>
        </w:rPr>
        <w:t>Poste</w:t>
      </w:r>
    </w:p>
    <w:p w14:paraId="00D8A459" w14:textId="77777777" w:rsidR="00A66AF7" w:rsidRDefault="00A66AF7" w:rsidP="00A66AF7">
      <w:pPr>
        <w:pStyle w:val="ListBullet2"/>
        <w:rPr>
          <w:lang w:val="sv-SE"/>
        </w:rPr>
      </w:pPr>
      <w:r w:rsidRPr="003A7F84">
        <w:rPr>
          <w:lang w:val="sv-SE"/>
        </w:rPr>
        <w:t>Ji kerema xwe agahdariya xwe bişînin bo:</w:t>
      </w:r>
    </w:p>
    <w:p w14:paraId="1225A5E7" w14:textId="77777777" w:rsidR="00A66AF7" w:rsidRPr="005F56B0" w:rsidRDefault="00A66AF7" w:rsidP="00A66AF7">
      <w:pPr>
        <w:pStyle w:val="ListBullet2"/>
        <w:numPr>
          <w:ilvl w:val="0"/>
          <w:numId w:val="0"/>
        </w:numPr>
        <w:ind w:left="720"/>
        <w:rPr>
          <w:rFonts w:cstheme="minorHAnsi"/>
        </w:rPr>
      </w:pPr>
      <w:r w:rsidRPr="00A66AF7">
        <w:rPr>
          <w:rFonts w:cstheme="minorHAnsi"/>
        </w:rPr>
        <w:t>National Security Hotline</w:t>
      </w:r>
      <w:r>
        <w:rPr>
          <w:rFonts w:cstheme="minorHAnsi"/>
        </w:rPr>
        <w:br/>
      </w:r>
      <w:r w:rsidRPr="005F56B0">
        <w:rPr>
          <w:rFonts w:cstheme="minorHAnsi"/>
        </w:rPr>
        <w:t>Department of Home Affairs</w:t>
      </w:r>
      <w:r>
        <w:rPr>
          <w:rFonts w:cstheme="minorHAnsi"/>
        </w:rPr>
        <w:br/>
      </w:r>
      <w:r w:rsidRPr="005F56B0">
        <w:rPr>
          <w:rFonts w:cstheme="minorHAnsi"/>
        </w:rPr>
        <w:t>PO Box 25</w:t>
      </w:r>
      <w:r>
        <w:rPr>
          <w:rFonts w:cstheme="minorHAnsi"/>
        </w:rPr>
        <w:br/>
      </w:r>
      <w:r w:rsidRPr="005F56B0">
        <w:rPr>
          <w:rFonts w:cstheme="minorHAnsi"/>
        </w:rPr>
        <w:t>Belconnen ACT 2616</w:t>
      </w:r>
    </w:p>
    <w:p w14:paraId="495A51E8" w14:textId="77777777" w:rsidR="00A66AF7" w:rsidRPr="00A66AF7" w:rsidRDefault="00A66AF7" w:rsidP="00A66AF7">
      <w:pPr>
        <w:pStyle w:val="Heading1"/>
      </w:pPr>
      <w:r w:rsidRPr="00A66AF7">
        <w:t>Rêbazên din ên raporê</w:t>
      </w:r>
    </w:p>
    <w:p w14:paraId="2904FF19" w14:textId="77777777" w:rsidR="00A66AF7" w:rsidRDefault="00A66AF7" w:rsidP="00A66AF7">
      <w:r>
        <w:t xml:space="preserve">Her weha hûn dikarin fikarên xwe bi </w:t>
      </w:r>
      <w:r w:rsidRPr="00867265">
        <w:t xml:space="preserve">rêyên cûrbecûr </w:t>
      </w:r>
      <w:r>
        <w:t>din ên ku guncan bin ragihînin.</w:t>
      </w:r>
    </w:p>
    <w:p w14:paraId="3FBB1ABA" w14:textId="77777777" w:rsidR="00A66AF7" w:rsidRPr="00043C3A" w:rsidRDefault="00A66AF7" w:rsidP="00A66AF7">
      <w:pPr>
        <w:pStyle w:val="ListBullet"/>
      </w:pPr>
      <w:r w:rsidRPr="00043C3A">
        <w:t xml:space="preserve">eSafety alîkariya rakirina naveroka serhêl a bi giranî xerabkar dike. Hûn dikarin xirab karîna serhêl a cidî ji Komîserê eSafety re ragihînin ser </w:t>
      </w:r>
      <w:hyperlink r:id="rId13" w:history="1">
        <w:r w:rsidRPr="00043C3A">
          <w:rPr>
            <w:rStyle w:val="Hyperlink"/>
            <w:rFonts w:cstheme="minorHAnsi"/>
          </w:rPr>
          <w:t>esafety.gov.au/report</w:t>
        </w:r>
      </w:hyperlink>
      <w:r w:rsidRPr="00043C3A">
        <w:t>.</w:t>
      </w:r>
    </w:p>
    <w:p w14:paraId="07FD37B4" w14:textId="77777777" w:rsidR="00A66AF7" w:rsidRPr="00043C3A" w:rsidRDefault="00A66AF7" w:rsidP="00A66AF7">
      <w:pPr>
        <w:pStyle w:val="ListBullet"/>
      </w:pPr>
      <w:r w:rsidRPr="00043C3A">
        <w:t>Ger hûn bi her awayî xwe di xetereyê de an ne ewlehiyê de hîs bikin, hûn dikarin têkilî bikin bo:</w:t>
      </w:r>
    </w:p>
    <w:p w14:paraId="184E979C" w14:textId="77777777" w:rsidR="00A66AF7" w:rsidRPr="00A66AF7" w:rsidRDefault="00A66AF7" w:rsidP="00A66AF7">
      <w:pPr>
        <w:pStyle w:val="ListBullet2"/>
        <w:rPr>
          <w:b/>
          <w:lang w:val="sv-SE"/>
        </w:rPr>
      </w:pPr>
      <w:r w:rsidRPr="00A66AF7">
        <w:rPr>
          <w:b/>
          <w:lang w:val="sv-SE"/>
        </w:rPr>
        <w:t>Polîs - li ser 000 ji bo tehdîdên lezgîn</w:t>
      </w:r>
    </w:p>
    <w:p w14:paraId="1A1AFD63" w14:textId="77777777" w:rsidR="00A66AF7" w:rsidRPr="00A66AF7" w:rsidRDefault="00A66AF7" w:rsidP="00A66AF7">
      <w:pPr>
        <w:pStyle w:val="ListBullet2"/>
        <w:rPr>
          <w:b/>
          <w:lang w:val="sv-SE"/>
        </w:rPr>
      </w:pPr>
      <w:r w:rsidRPr="00A66AF7">
        <w:rPr>
          <w:b/>
          <w:lang w:val="sv-SE"/>
        </w:rPr>
        <w:t>Polîs - li ser 13 14 44 ji bo tevlêbûna polîs di bûyerên ne xeternak de.</w:t>
      </w:r>
    </w:p>
    <w:p w14:paraId="18777DE8" w14:textId="77777777" w:rsidR="00A66AF7" w:rsidRPr="00EC4673" w:rsidRDefault="00A66AF7" w:rsidP="00A66AF7">
      <w:pPr>
        <w:pStyle w:val="ListBullet"/>
      </w:pPr>
      <w:r w:rsidRPr="00F2098B">
        <w:rPr>
          <w:lang w:val="sv-SE"/>
        </w:rPr>
        <w:t xml:space="preserve">Hûn dikarin tawanek Commonwealth-ê ji AFP-ê re bi forma serhêl ragihînin ser </w:t>
      </w:r>
      <w:hyperlink r:id="rId14" w:history="1">
        <w:r w:rsidRPr="00F2098B">
          <w:rPr>
            <w:rStyle w:val="Hyperlink"/>
            <w:rFonts w:cstheme="minorHAnsi"/>
            <w:lang w:val="sv-SE"/>
          </w:rPr>
          <w:t>forms.afp.gov.au/online_forms/report_a_crime</w:t>
        </w:r>
      </w:hyperlink>
      <w:r w:rsidRPr="00F2098B">
        <w:rPr>
          <w:lang w:val="sv-SE"/>
        </w:rPr>
        <w:t xml:space="preserve">. </w:t>
      </w:r>
      <w:r w:rsidRPr="00EC4673">
        <w:t xml:space="preserve">Ji bo bêtir agahdarî li ser çi sûcê Commonwealth pêk tîne, ji kerema xwe binêre </w:t>
      </w:r>
      <w:hyperlink r:id="rId15" w:anchor="What-is-a-Commonwealth-crime" w:history="1">
        <w:r w:rsidRPr="00F2098B">
          <w:rPr>
            <w:rStyle w:val="Hyperlink"/>
            <w:rFonts w:cstheme="minorHAnsi"/>
          </w:rPr>
          <w:t>afp.gov.au/contact-us/report-commonwealth-crime#What-is-a-Commonwealth-crime</w:t>
        </w:r>
      </w:hyperlink>
      <w:r w:rsidRPr="00EC4673">
        <w:t>.</w:t>
      </w:r>
    </w:p>
    <w:p w14:paraId="3B25F6F0" w14:textId="77777777" w:rsidR="00A66AF7" w:rsidRPr="00F2098B" w:rsidRDefault="00A66AF7" w:rsidP="00A66AF7">
      <w:pPr>
        <w:pStyle w:val="ListBullet"/>
      </w:pPr>
      <w:r w:rsidRPr="00092428">
        <w:t>Her endamek civakê dikare bi axaftinek rasterast bi endamek AFP-ê re (Tîma Têkiliyên Civakî ya AFP-ê jî di nav de) sîxurî an çalakiyên destwerdana biyanî yên gumanbar rapor bike.</w:t>
      </w:r>
    </w:p>
    <w:p w14:paraId="3A7F1DDE" w14:textId="77777777" w:rsidR="00A66AF7" w:rsidRPr="00A66AF7" w:rsidRDefault="00A66AF7" w:rsidP="00A66AF7">
      <w:pPr>
        <w:pStyle w:val="Heading1"/>
        <w:rPr>
          <w:rtl/>
        </w:rPr>
      </w:pPr>
      <w:r w:rsidRPr="00A66AF7">
        <w:t>Ez dikarim bi raporkirina destwerdana biyanî ya di civakê de hêvî bikim?</w:t>
      </w:r>
    </w:p>
    <w:p w14:paraId="39A9AED5" w14:textId="77777777" w:rsidR="00A66AF7" w:rsidRDefault="00A66AF7" w:rsidP="00A66AF7">
      <w:pPr>
        <w:rPr>
          <w:rtl/>
        </w:rPr>
      </w:pPr>
      <w:r w:rsidRPr="00092428">
        <w:rPr>
          <w:lang w:val="sv-SE"/>
        </w:rPr>
        <w:t>AFP nikare her raporta destwerdana biyanî ya di civakê de lêkolîn bike. Her bangek ji NSH re an raporek sûcê li ser bingeh</w:t>
      </w:r>
      <w:r>
        <w:rPr>
          <w:lang w:val="sv-SE"/>
        </w:rPr>
        <w:t>a</w:t>
      </w:r>
      <w:r w:rsidRPr="00092428">
        <w:rPr>
          <w:lang w:val="sv-SE"/>
        </w:rPr>
        <w:t xml:space="preserve"> doz-bi-doz tê nirxandin da ku were destnîşankirin ka sûcek sûc</w:t>
      </w:r>
      <w:r>
        <w:rPr>
          <w:lang w:val="sv-SE"/>
        </w:rPr>
        <w:t>eka destnîşan kirîye yan ne</w:t>
      </w:r>
      <w:r w:rsidRPr="00092428">
        <w:rPr>
          <w:lang w:val="sv-SE"/>
        </w:rPr>
        <w:t xml:space="preserve">. </w:t>
      </w:r>
      <w:r w:rsidRPr="00D24D3F">
        <w:rPr>
          <w:lang w:val="sv-SE"/>
        </w:rPr>
        <w:t>Encamên çêkirina raporê ev in:</w:t>
      </w:r>
    </w:p>
    <w:p w14:paraId="3DA4EB69" w14:textId="77777777" w:rsidR="00A66AF7" w:rsidRPr="00F2098B" w:rsidRDefault="00A66AF7" w:rsidP="00A66AF7">
      <w:pPr>
        <w:pStyle w:val="ListBullet"/>
        <w:rPr>
          <w:lang w:val="sv-SE"/>
        </w:rPr>
      </w:pPr>
      <w:r w:rsidRPr="00F2098B">
        <w:rPr>
          <w:lang w:val="sv-SE"/>
        </w:rPr>
        <w:t>dibe ku bersiv neyê dayîn, ji ber ku ev mijar li gorî bendeke qanûnî ya ji bo tedbîrên polîsan nayê</w:t>
      </w:r>
    </w:p>
    <w:p w14:paraId="7AE7E04D" w14:textId="77777777" w:rsidR="00A66AF7" w:rsidRPr="00F2098B" w:rsidRDefault="00A66AF7" w:rsidP="00A66AF7">
      <w:pPr>
        <w:pStyle w:val="ListBullet"/>
        <w:rPr>
          <w:lang w:val="sv-SE"/>
        </w:rPr>
      </w:pPr>
      <w:r w:rsidRPr="00F2098B">
        <w:rPr>
          <w:lang w:val="sv-SE"/>
        </w:rPr>
        <w:t>AFP dikare lêkolînê bike</w:t>
      </w:r>
    </w:p>
    <w:p w14:paraId="2C94DCEA" w14:textId="77777777" w:rsidR="00A66AF7" w:rsidRPr="00F2098B" w:rsidRDefault="00A66AF7" w:rsidP="00A66AF7">
      <w:pPr>
        <w:pStyle w:val="ListBullet"/>
        <w:rPr>
          <w:lang w:val="sv-SE"/>
        </w:rPr>
      </w:pPr>
      <w:r w:rsidRPr="00F2098B">
        <w:rPr>
          <w:lang w:val="sv-SE"/>
        </w:rPr>
        <w:t>karûbarek din a polîs an dezgehek hukûmetê dikare bi mijarê re mijûl bibe.</w:t>
      </w:r>
    </w:p>
    <w:p w14:paraId="65EBC90F" w14:textId="77777777" w:rsidR="00A66AF7" w:rsidRPr="00A66AF7" w:rsidRDefault="00A66AF7" w:rsidP="00A66AF7">
      <w:r w:rsidRPr="00D24D3F">
        <w:rPr>
          <w:lang w:val="sv-SE"/>
        </w:rPr>
        <w:t xml:space="preserve">Ji bo sûcên ku li derveyî </w:t>
      </w:r>
      <w:r>
        <w:rPr>
          <w:lang w:val="sv-SE"/>
        </w:rPr>
        <w:t>U</w:t>
      </w:r>
      <w:r w:rsidRPr="00D24D3F">
        <w:rPr>
          <w:lang w:val="sv-SE"/>
        </w:rPr>
        <w:t>sturalya diqewimin, sînorên dadrêsiyê derbas dibin.</w:t>
      </w:r>
    </w:p>
    <w:p w14:paraId="218D2C4D" w14:textId="77777777" w:rsidR="00A66AF7" w:rsidRDefault="00A66AF7" w:rsidP="00A66AF7">
      <w:pPr>
        <w:spacing w:after="240"/>
        <w:rPr>
          <w:b/>
          <w:bCs/>
          <w:sz w:val="2"/>
          <w:szCs w:val="2"/>
          <w:lang w:val="sv-SE"/>
        </w:rPr>
      </w:pPr>
    </w:p>
    <w:p w14:paraId="3FE9565F" w14:textId="77777777" w:rsidR="00A66AF7" w:rsidRDefault="00A66AF7" w:rsidP="00A66AF7">
      <w:pPr>
        <w:pStyle w:val="Heading1"/>
        <w:spacing w:before="240" w:after="240"/>
        <w:rPr>
          <w:rFonts w:cstheme="minorHAnsi"/>
        </w:rPr>
      </w:pPr>
    </w:p>
    <w:p w14:paraId="75A35087" w14:textId="77777777" w:rsidR="00A66AF7" w:rsidRPr="00A66AF7" w:rsidRDefault="00A66AF7" w:rsidP="00A66AF7"/>
    <w:p w14:paraId="155538F7" w14:textId="77777777" w:rsidR="00A66AF7" w:rsidRPr="007D1F16" w:rsidRDefault="00A66AF7" w:rsidP="00A66AF7">
      <w:pPr>
        <w:pStyle w:val="Heading1"/>
        <w:spacing w:before="240" w:after="240"/>
        <w:rPr>
          <w:rFonts w:cstheme="minorHAnsi"/>
          <w:rtl/>
        </w:rPr>
      </w:pPr>
      <w:r w:rsidRPr="007D1F16">
        <w:rPr>
          <w:rFonts w:cstheme="minorHAnsi"/>
        </w:rPr>
        <w:lastRenderedPageBreak/>
        <w:t>Cureyên gefan</w:t>
      </w:r>
    </w:p>
    <w:p w14:paraId="01772131" w14:textId="77777777" w:rsidR="00A66AF7" w:rsidRPr="00F2098B" w:rsidRDefault="00A66AF7" w:rsidP="00A66AF7">
      <w:pPr>
        <w:pStyle w:val="Heading2"/>
        <w:spacing w:before="240" w:after="240"/>
        <w:rPr>
          <w:rFonts w:eastAsia="Times New Roman" w:cstheme="minorHAnsi"/>
          <w:lang w:val="sv-SE" w:eastAsia="en-AU"/>
        </w:rPr>
      </w:pPr>
      <w:r w:rsidRPr="00F2098B">
        <w:rPr>
          <w:rFonts w:eastAsia="Times New Roman" w:cstheme="minorHAnsi"/>
          <w:lang w:val="sv-SE" w:eastAsia="en-AU"/>
        </w:rPr>
        <w:t>Heke hûn di şexsê xwe de tehdît kirin</w:t>
      </w:r>
    </w:p>
    <w:p w14:paraId="524116E3" w14:textId="77777777" w:rsidR="00A66AF7" w:rsidRPr="00BA1445" w:rsidRDefault="00A66AF7" w:rsidP="00A66AF7">
      <w:pPr>
        <w:pStyle w:val="ListParagraph"/>
        <w:numPr>
          <w:ilvl w:val="0"/>
          <w:numId w:val="4"/>
        </w:numPr>
        <w:spacing w:after="0"/>
        <w:ind w:left="425" w:hanging="357"/>
        <w:contextualSpacing w:val="0"/>
        <w:rPr>
          <w:lang w:val="sv-SE"/>
        </w:rPr>
      </w:pPr>
      <w:r w:rsidRPr="00BA1445">
        <w:rPr>
          <w:lang w:val="sv-SE"/>
        </w:rPr>
        <w:t>Metirsiyê tam wek ku hatiye ragihandin binivîsin an tomar bikin.</w:t>
      </w:r>
    </w:p>
    <w:p w14:paraId="2617E440" w14:textId="77777777" w:rsidR="00A66AF7" w:rsidRPr="00BA1445" w:rsidRDefault="00A66AF7" w:rsidP="00A66AF7">
      <w:pPr>
        <w:pStyle w:val="ListParagraph"/>
        <w:numPr>
          <w:ilvl w:val="0"/>
          <w:numId w:val="4"/>
        </w:numPr>
        <w:spacing w:after="0"/>
        <w:ind w:left="425" w:hanging="357"/>
        <w:contextualSpacing w:val="0"/>
        <w:rPr>
          <w:lang w:val="sv-SE"/>
        </w:rPr>
      </w:pPr>
      <w:r w:rsidRPr="00BA1445">
        <w:rPr>
          <w:lang w:val="sv-SE"/>
        </w:rPr>
        <w:t xml:space="preserve">Di derbarê kesê ku tehdîd kiriye de gelek </w:t>
      </w:r>
      <w:r>
        <w:rPr>
          <w:lang w:val="sv-SE"/>
        </w:rPr>
        <w:t>agehîyên</w:t>
      </w:r>
      <w:r w:rsidRPr="00BA1445">
        <w:rPr>
          <w:lang w:val="sv-SE"/>
        </w:rPr>
        <w:t xml:space="preserve"> danasînê tomar bikin (nav, zayend, bilindahî, giranî, rengê por û çav, deng, cil, an taybetmendiyên din ên cihêkar).</w:t>
      </w:r>
    </w:p>
    <w:p w14:paraId="7D9C2BC3" w14:textId="77777777" w:rsidR="00A66AF7" w:rsidRPr="00F2098B" w:rsidRDefault="00A66AF7" w:rsidP="00A66AF7">
      <w:pPr>
        <w:pStyle w:val="ListParagraph"/>
        <w:numPr>
          <w:ilvl w:val="0"/>
          <w:numId w:val="4"/>
        </w:numPr>
        <w:spacing w:after="0"/>
        <w:ind w:left="425" w:hanging="357"/>
        <w:contextualSpacing w:val="0"/>
        <w:rPr>
          <w:rtl/>
          <w:lang w:val="sv-SE"/>
        </w:rPr>
      </w:pPr>
      <w:r w:rsidRPr="00043C3A">
        <w:t>Metirsiyê ji polîsan re ragihînin.</w:t>
      </w:r>
    </w:p>
    <w:p w14:paraId="6B47C0BD" w14:textId="77777777" w:rsidR="00A66AF7" w:rsidRDefault="00A66AF7" w:rsidP="00A66AF7">
      <w:pPr>
        <w:pStyle w:val="Heading2"/>
        <w:spacing w:before="240" w:after="240"/>
        <w:rPr>
          <w:rFonts w:eastAsia="Times New Roman" w:cstheme="minorHAnsi"/>
          <w:lang w:val="sv-SE" w:eastAsia="en-AU"/>
        </w:rPr>
      </w:pPr>
      <w:r w:rsidRPr="006C0908">
        <w:rPr>
          <w:rFonts w:eastAsia="Times New Roman" w:cstheme="minorHAnsi"/>
          <w:lang w:val="sv-SE" w:eastAsia="en-AU"/>
        </w:rPr>
        <w:t xml:space="preserve">Heke hûn bi telefonê tehdît bikin </w:t>
      </w:r>
    </w:p>
    <w:p w14:paraId="3AB9F7E4" w14:textId="77777777" w:rsidR="00A66AF7" w:rsidRPr="00BA1445" w:rsidRDefault="00A66AF7" w:rsidP="00A66AF7">
      <w:pPr>
        <w:pStyle w:val="ListParagraph"/>
        <w:numPr>
          <w:ilvl w:val="0"/>
          <w:numId w:val="4"/>
        </w:numPr>
        <w:spacing w:after="0"/>
        <w:ind w:left="425" w:hanging="357"/>
        <w:contextualSpacing w:val="0"/>
        <w:rPr>
          <w:lang w:val="sv-SE"/>
        </w:rPr>
      </w:pPr>
      <w:r w:rsidRPr="00BA1445">
        <w:rPr>
          <w:lang w:val="sv-SE"/>
        </w:rPr>
        <w:t xml:space="preserve"> Ger </w:t>
      </w:r>
      <w:r>
        <w:rPr>
          <w:lang w:val="sv-SE"/>
        </w:rPr>
        <w:t>mûmkin</w:t>
      </w:r>
      <w:r w:rsidRPr="00BA1445">
        <w:rPr>
          <w:lang w:val="sv-SE"/>
        </w:rPr>
        <w:t xml:space="preserve"> be, îşaretekê bidin kesên din ên nêz ku guhdarî bikin û polîs agahdar bikin.</w:t>
      </w:r>
    </w:p>
    <w:p w14:paraId="0B67A898" w14:textId="77777777" w:rsidR="00A66AF7" w:rsidRPr="00BA1445" w:rsidRDefault="00A66AF7" w:rsidP="00A66AF7">
      <w:pPr>
        <w:pStyle w:val="ListParagraph"/>
        <w:numPr>
          <w:ilvl w:val="0"/>
          <w:numId w:val="4"/>
        </w:numPr>
        <w:spacing w:after="0"/>
        <w:ind w:left="425" w:hanging="357"/>
        <w:contextualSpacing w:val="0"/>
        <w:rPr>
          <w:lang w:val="sv-SE"/>
        </w:rPr>
      </w:pPr>
      <w:r w:rsidRPr="00BA1445">
        <w:rPr>
          <w:lang w:val="sv-SE"/>
        </w:rPr>
        <w:t xml:space="preserve"> Ger </w:t>
      </w:r>
      <w:r>
        <w:rPr>
          <w:lang w:val="sv-SE"/>
        </w:rPr>
        <w:t>mûmkin</w:t>
      </w:r>
      <w:r w:rsidRPr="00BA1445">
        <w:rPr>
          <w:lang w:val="sv-SE"/>
        </w:rPr>
        <w:t xml:space="preserve"> be bangê tomar bikin.</w:t>
      </w:r>
    </w:p>
    <w:p w14:paraId="22BB7CA1" w14:textId="77777777" w:rsidR="00A66AF7" w:rsidRPr="00BA1445" w:rsidRDefault="00A66AF7" w:rsidP="00A66AF7">
      <w:pPr>
        <w:pStyle w:val="ListParagraph"/>
        <w:numPr>
          <w:ilvl w:val="0"/>
          <w:numId w:val="4"/>
        </w:numPr>
        <w:spacing w:after="0"/>
        <w:ind w:left="425" w:hanging="357"/>
        <w:contextualSpacing w:val="0"/>
        <w:rPr>
          <w:lang w:val="sv-SE"/>
        </w:rPr>
      </w:pPr>
      <w:r w:rsidRPr="00BA1445">
        <w:rPr>
          <w:lang w:val="sv-SE"/>
        </w:rPr>
        <w:t xml:space="preserve"> Gotina tam ya tehdîdê binivîsin.</w:t>
      </w:r>
    </w:p>
    <w:p w14:paraId="0DA8E2D1" w14:textId="77777777" w:rsidR="00A66AF7" w:rsidRPr="00BA1445" w:rsidRDefault="00A66AF7" w:rsidP="00A66AF7">
      <w:pPr>
        <w:pStyle w:val="ListParagraph"/>
        <w:numPr>
          <w:ilvl w:val="0"/>
          <w:numId w:val="4"/>
        </w:numPr>
        <w:spacing w:after="0"/>
        <w:ind w:left="425" w:hanging="357"/>
        <w:contextualSpacing w:val="0"/>
        <w:rPr>
          <w:lang w:val="sv-SE"/>
        </w:rPr>
      </w:pPr>
      <w:r w:rsidRPr="00BA1445">
        <w:rPr>
          <w:lang w:val="sv-SE"/>
        </w:rPr>
        <w:t xml:space="preserve"> Ji dîmendera elektronîkî ya têlefonê her agahdarî kopî bikin.</w:t>
      </w:r>
    </w:p>
    <w:p w14:paraId="2312137D" w14:textId="77777777" w:rsidR="00A66AF7" w:rsidRPr="00BA1445" w:rsidRDefault="00A66AF7" w:rsidP="00A66AF7">
      <w:pPr>
        <w:pStyle w:val="ListParagraph"/>
        <w:numPr>
          <w:ilvl w:val="0"/>
          <w:numId w:val="4"/>
        </w:numPr>
        <w:spacing w:after="0"/>
        <w:ind w:left="425" w:hanging="357"/>
        <w:contextualSpacing w:val="0"/>
        <w:rPr>
          <w:lang w:val="sv-SE"/>
        </w:rPr>
      </w:pPr>
      <w:r w:rsidRPr="00BA1445">
        <w:rPr>
          <w:lang w:val="sv-SE"/>
        </w:rPr>
        <w:t xml:space="preserve"> Ji bo nîqaşkirina </w:t>
      </w:r>
      <w:r>
        <w:rPr>
          <w:lang w:val="sv-SE"/>
        </w:rPr>
        <w:t>zanyarîyên</w:t>
      </w:r>
      <w:r w:rsidRPr="00BA1445">
        <w:rPr>
          <w:lang w:val="sv-SE"/>
        </w:rPr>
        <w:t xml:space="preserve"> bi polîs re amade bin.</w:t>
      </w:r>
    </w:p>
    <w:p w14:paraId="078278A8" w14:textId="77777777" w:rsidR="00A66AF7" w:rsidRPr="00B8179F" w:rsidRDefault="00A66AF7" w:rsidP="00A66AF7">
      <w:pPr>
        <w:pStyle w:val="Heading2"/>
        <w:spacing w:before="240" w:after="240"/>
        <w:rPr>
          <w:rFonts w:eastAsia="Times New Roman" w:cstheme="minorHAnsi"/>
          <w:lang w:val="sv-SE" w:eastAsia="en-AU"/>
        </w:rPr>
      </w:pPr>
      <w:r w:rsidRPr="00B8179F">
        <w:rPr>
          <w:rFonts w:eastAsia="Times New Roman" w:cstheme="minorHAnsi"/>
          <w:lang w:val="sv-SE" w:eastAsia="en-AU"/>
        </w:rPr>
        <w:t>Heke hûn bi rêyên elektronîkî têne tehdîd kirin, di nav de bi ser peyama nivîsê, peyama rasterast / taybet, medyaya civakî an e-mail</w:t>
      </w:r>
    </w:p>
    <w:p w14:paraId="335B7B21" w14:textId="77777777" w:rsidR="00A66AF7" w:rsidRPr="00064CA4" w:rsidRDefault="00A66AF7" w:rsidP="00A66AF7">
      <w:pPr>
        <w:pStyle w:val="ListParagraph"/>
        <w:numPr>
          <w:ilvl w:val="0"/>
          <w:numId w:val="4"/>
        </w:numPr>
        <w:spacing w:after="0"/>
        <w:ind w:left="425" w:hanging="357"/>
        <w:contextualSpacing w:val="0"/>
        <w:rPr>
          <w:lang w:val="sv-SE"/>
        </w:rPr>
      </w:pPr>
      <w:r w:rsidRPr="00064CA4">
        <w:rPr>
          <w:lang w:val="sv-SE"/>
        </w:rPr>
        <w:t>Mesajan jê nekin.</w:t>
      </w:r>
    </w:p>
    <w:p w14:paraId="578F805F" w14:textId="77777777" w:rsidR="00A66AF7" w:rsidRPr="00064CA4" w:rsidRDefault="00A66AF7" w:rsidP="00A66AF7">
      <w:pPr>
        <w:pStyle w:val="ListParagraph"/>
        <w:numPr>
          <w:ilvl w:val="0"/>
          <w:numId w:val="4"/>
        </w:numPr>
        <w:spacing w:after="0"/>
        <w:ind w:left="425" w:hanging="357"/>
        <w:contextualSpacing w:val="0"/>
        <w:rPr>
          <w:lang w:val="sv-SE"/>
        </w:rPr>
      </w:pPr>
      <w:r w:rsidRPr="00064CA4">
        <w:rPr>
          <w:lang w:val="sv-SE"/>
        </w:rPr>
        <w:t xml:space="preserve">Agahdariya peyamê çap bikin, wêne bikin, dîmenderê bidin an kopî bikin (Rêjeya mijarê, dîrok, dem, şandin, hwd.). Pê bawer bin ku hûn dîmenek peyamên ku ji bo demkî hatine çêkirin hilînin an bigirin. </w:t>
      </w:r>
    </w:p>
    <w:p w14:paraId="373C9F1E" w14:textId="77777777" w:rsidR="00A66AF7" w:rsidRDefault="00A66AF7" w:rsidP="00A66AF7">
      <w:pPr>
        <w:pStyle w:val="ListParagraph"/>
        <w:numPr>
          <w:ilvl w:val="0"/>
          <w:numId w:val="4"/>
        </w:numPr>
        <w:spacing w:after="0"/>
        <w:ind w:left="425" w:hanging="357"/>
        <w:contextualSpacing w:val="0"/>
        <w:rPr>
          <w:lang w:val="sv-SE"/>
        </w:rPr>
      </w:pPr>
      <w:r w:rsidRPr="00064CA4">
        <w:rPr>
          <w:lang w:val="sv-SE"/>
        </w:rPr>
        <w:t xml:space="preserve">Tavilê polîs agahdar bikin ku te tehdîd standiye. </w:t>
      </w:r>
    </w:p>
    <w:p w14:paraId="2BB11D3D" w14:textId="77777777" w:rsidR="00A66AF7" w:rsidRPr="00327EF9" w:rsidRDefault="00A66AF7" w:rsidP="00A66AF7">
      <w:pPr>
        <w:pStyle w:val="ListParagraph"/>
        <w:numPr>
          <w:ilvl w:val="0"/>
          <w:numId w:val="4"/>
        </w:numPr>
        <w:spacing w:after="0"/>
        <w:ind w:left="425" w:hanging="357"/>
        <w:contextualSpacing w:val="0"/>
        <w:rPr>
          <w:lang w:val="sv-SE"/>
        </w:rPr>
      </w:pPr>
      <w:r w:rsidRPr="00327EF9">
        <w:rPr>
          <w:lang w:val="sv-SE"/>
        </w:rPr>
        <w:t>Hemî delîlên elektronîkî biparêzin</w:t>
      </w:r>
    </w:p>
    <w:p w14:paraId="44BB70BF" w14:textId="77777777" w:rsidR="00A24784" w:rsidRDefault="00A66AF7" w:rsidP="00A24784">
      <w:pPr>
        <w:pStyle w:val="CalltoActionHeading"/>
        <w:framePr w:wrap="notBeside"/>
      </w:pPr>
      <w:r w:rsidRPr="00A66AF7">
        <w:t>Ji bo ku hûn xwe ji van cor gefan biparêzin, van serişteyan bişopînin:</w:t>
      </w:r>
    </w:p>
    <w:p w14:paraId="65E12314" w14:textId="77777777" w:rsidR="00A66AF7" w:rsidRDefault="00A24784" w:rsidP="00A66AF7">
      <w:pPr>
        <w:pStyle w:val="CalltoAction"/>
        <w:framePr w:wrap="notBeside"/>
      </w:pPr>
      <w:r>
        <w:t>•</w:t>
      </w:r>
      <w:r>
        <w:tab/>
      </w:r>
      <w:r w:rsidR="00A66AF7">
        <w:t>Mesajên elektronîk an pêvekên ji şanderên nenas venekin</w:t>
      </w:r>
    </w:p>
    <w:p w14:paraId="090BB25A" w14:textId="77777777" w:rsidR="00A66AF7" w:rsidRDefault="00A66AF7" w:rsidP="00A66AF7">
      <w:pPr>
        <w:pStyle w:val="CalltoAction"/>
        <w:framePr w:wrap="notBeside"/>
      </w:pPr>
      <w:r>
        <w:t>•</w:t>
      </w:r>
      <w:r>
        <w:tab/>
        <w:t>Li ser medyaya civakî bi kesên nenas û nexwestî re têkilî daynin</w:t>
      </w:r>
    </w:p>
    <w:p w14:paraId="20C5D261" w14:textId="77777777" w:rsidR="00A66AF7" w:rsidRDefault="00A66AF7" w:rsidP="00A66AF7">
      <w:pPr>
        <w:pStyle w:val="CalltoAction"/>
        <w:framePr w:wrap="notBeside"/>
        <w:ind w:left="720" w:hanging="493"/>
      </w:pPr>
      <w:r>
        <w:t>•</w:t>
      </w:r>
      <w:r>
        <w:tab/>
        <w:t>Piştrast bikin ku mîhengên ewlehiyê yên li ser cîhazên/hesabên we di asta herî bilind a parastinê de hatine danîn</w:t>
      </w:r>
    </w:p>
    <w:p w14:paraId="6024A91B" w14:textId="77777777" w:rsidR="00A66AF7" w:rsidRDefault="00A66AF7" w:rsidP="00A66AF7">
      <w:pPr>
        <w:pStyle w:val="CalltoAction"/>
        <w:framePr w:wrap="notBeside"/>
      </w:pPr>
      <w:r>
        <w:t>•</w:t>
      </w:r>
      <w:r>
        <w:tab/>
        <w:t>Sûcdarên sîber dikarin cîhazên we yên elektronîkî tawîz bidin û agahdariya kesane eşkere bikin</w:t>
      </w:r>
    </w:p>
    <w:p w14:paraId="797850CA" w14:textId="77777777" w:rsidR="00A66AF7" w:rsidRDefault="00A66AF7" w:rsidP="00A66AF7">
      <w:pPr>
        <w:pStyle w:val="CalltoAction"/>
        <w:framePr w:wrap="notBeside"/>
        <w:ind w:left="720" w:hanging="493"/>
      </w:pPr>
      <w:r>
        <w:t>•</w:t>
      </w:r>
      <w:r>
        <w:tab/>
        <w:t>Yekser bi saziyên xwe yên aborî re têkilî daynin da ku hesabên xwe ji dizîna nasnameyan biparêzin</w:t>
      </w:r>
    </w:p>
    <w:p w14:paraId="17C04960" w14:textId="77777777" w:rsidR="00A66AF7" w:rsidRDefault="00A66AF7" w:rsidP="00A66AF7">
      <w:pPr>
        <w:pStyle w:val="CalltoAction"/>
        <w:framePr w:wrap="notBeside"/>
      </w:pPr>
      <w:r>
        <w:t>•</w:t>
      </w:r>
      <w:r>
        <w:tab/>
        <w:t>Daxuyanên derbasbûnê yên bihêz bikar bînin û ji bo gelek malperan heman şîfreyê bikar neynin</w:t>
      </w:r>
    </w:p>
    <w:p w14:paraId="46CBA23E" w14:textId="77777777" w:rsidR="00A66AF7" w:rsidRDefault="00A66AF7" w:rsidP="00A66AF7">
      <w:pPr>
        <w:pStyle w:val="CalltoAction"/>
        <w:framePr w:wrap="notBeside"/>
      </w:pPr>
      <w:r>
        <w:t>•</w:t>
      </w:r>
      <w:r>
        <w:tab/>
        <w:t>Piştrast bikin ku sepanên antî-vîrûs û malware nûjen in</w:t>
      </w:r>
    </w:p>
    <w:p w14:paraId="0D1C1179" w14:textId="77777777" w:rsidR="00A66AF7" w:rsidRDefault="00A66AF7" w:rsidP="00A66AF7">
      <w:pPr>
        <w:pStyle w:val="CalltoAction"/>
        <w:framePr w:wrap="notBeside"/>
      </w:pPr>
      <w:r>
        <w:t>•</w:t>
      </w:r>
      <w:r>
        <w:tab/>
        <w:t>Li gorî hewcedariyê nûvekirinên pergalê û nermalavê bicîh bikin</w:t>
      </w:r>
    </w:p>
    <w:p w14:paraId="08D7067C" w14:textId="77777777" w:rsidR="00A66AF7" w:rsidRDefault="00A66AF7" w:rsidP="00A66AF7">
      <w:pPr>
        <w:pStyle w:val="CalltoAction"/>
        <w:framePr w:wrap="notBeside"/>
      </w:pPr>
      <w:r>
        <w:t>•</w:t>
      </w:r>
      <w:r>
        <w:tab/>
        <w:t>Erêkirina du-faktor ê danin</w:t>
      </w:r>
    </w:p>
    <w:p w14:paraId="3C206703" w14:textId="77777777" w:rsidR="00A66AF7" w:rsidRDefault="00A66AF7" w:rsidP="00A66AF7">
      <w:pPr>
        <w:pStyle w:val="CalltoAction"/>
        <w:framePr w:wrap="notBeside"/>
      </w:pPr>
      <w:r>
        <w:t>•</w:t>
      </w:r>
      <w:r>
        <w:tab/>
        <w:t>Zanyarî xwe  bi rêkûpêk hilgirin</w:t>
      </w:r>
    </w:p>
    <w:p w14:paraId="421CBF1F" w14:textId="77777777" w:rsidR="00A66AF7" w:rsidRDefault="00A66AF7" w:rsidP="00A66AF7">
      <w:pPr>
        <w:pStyle w:val="CalltoAction"/>
        <w:framePr w:wrap="notBeside"/>
      </w:pPr>
      <w:r>
        <w:t>•</w:t>
      </w:r>
      <w:r>
        <w:tab/>
        <w:t>Mobîl xweya ewle bikin</w:t>
      </w:r>
    </w:p>
    <w:p w14:paraId="63DCEAB7" w14:textId="77777777" w:rsidR="00A66AF7" w:rsidRDefault="00A66AF7" w:rsidP="00A66AF7">
      <w:pPr>
        <w:pStyle w:val="CalltoAction"/>
        <w:framePr w:wrap="notBeside"/>
      </w:pPr>
      <w:r>
        <w:t>•</w:t>
      </w:r>
      <w:r>
        <w:tab/>
        <w:t xml:space="preserve"> Zanîn û hişmendiya xweya Ewlekariya Sîberê pêş bixin</w:t>
      </w:r>
    </w:p>
    <w:p w14:paraId="2D25623F" w14:textId="77777777" w:rsidR="00A66AF7" w:rsidRPr="00815ABE" w:rsidRDefault="00A66AF7" w:rsidP="00A66AF7">
      <w:pPr>
        <w:pStyle w:val="CalltoAction"/>
        <w:framePr w:wrap="notBeside"/>
      </w:pPr>
      <w:r>
        <w:t>•</w:t>
      </w:r>
      <w:r>
        <w:tab/>
        <w:t xml:space="preserve"> Ji bo bêtir agahdarî, biçin cyber.gov.au.</w:t>
      </w:r>
    </w:p>
    <w:sectPr w:rsidR="00A66AF7" w:rsidRPr="00815ABE"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02187" w14:textId="77777777" w:rsidR="00742E59" w:rsidRDefault="00742E59" w:rsidP="000C24D7">
      <w:pPr>
        <w:spacing w:after="0" w:line="240" w:lineRule="auto"/>
      </w:pPr>
      <w:r>
        <w:separator/>
      </w:r>
    </w:p>
  </w:endnote>
  <w:endnote w:type="continuationSeparator" w:id="0">
    <w:p w14:paraId="6E5BB134" w14:textId="77777777" w:rsidR="00742E59" w:rsidRDefault="00742E59"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in Light">
    <w:altName w:val="Calibri"/>
    <w:panose1 w:val="00000000000000000000"/>
    <w:charset w:val="00"/>
    <w:family w:val="swiss"/>
    <w:notTrueType/>
    <w:pitch w:val="variable"/>
    <w:sig w:usb0="8000002F"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9A0D" w14:textId="77777777" w:rsidR="000C24D7" w:rsidRDefault="000C24D7">
    <w:pPr>
      <w:pStyle w:val="Footer"/>
    </w:pPr>
    <w:r>
      <w:rPr>
        <w:noProof/>
        <w:lang w:eastAsia="en-AU"/>
      </w:rPr>
      <w:drawing>
        <wp:anchor distT="0" distB="0" distL="114300" distR="114300" simplePos="0" relativeHeight="251660288" behindDoc="1" locked="1" layoutInCell="1" allowOverlap="1" wp14:anchorId="11F68F8A" wp14:editId="3AED5330">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3D9D18CD" wp14:editId="4ECD4B6F">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16A4DEDC" w14:textId="7F45E84C" w:rsid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BB632D">
        <w:rPr>
          <w:noProof/>
        </w:rPr>
        <w:t>Destwerdana Derve ya di Civakê de</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142674">
      <w:rPr>
        <w:noProof/>
      </w:rPr>
      <w:t>3</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65953"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245A6CD1" wp14:editId="3C0D4C1E">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652DEB98" wp14:editId="2DB4181C">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3FFD7C73" w14:textId="315B798A" w:rsidR="000C24D7" w:rsidRP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BB632D">
        <w:rPr>
          <w:noProof/>
        </w:rPr>
        <w:t>Destwerdana Derve ya di Civakê de</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142674">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21B5C" w14:textId="77777777" w:rsidR="00742E59" w:rsidRDefault="00742E59" w:rsidP="000C24D7">
      <w:pPr>
        <w:spacing w:after="0" w:line="240" w:lineRule="auto"/>
      </w:pPr>
      <w:r>
        <w:separator/>
      </w:r>
    </w:p>
  </w:footnote>
  <w:footnote w:type="continuationSeparator" w:id="0">
    <w:p w14:paraId="5DEE8E8C" w14:textId="77777777" w:rsidR="00742E59" w:rsidRDefault="00742E59"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A50D" w14:textId="77777777" w:rsidR="000C24D7" w:rsidRDefault="00A511F2" w:rsidP="00667EA3">
    <w:pPr>
      <w:pStyle w:val="Spacer-pg2"/>
    </w:pPr>
    <w:r>
      <w:rPr>
        <w:noProof/>
        <w:lang w:eastAsia="en-AU"/>
      </w:rPr>
      <mc:AlternateContent>
        <mc:Choice Requires="wps">
          <w:drawing>
            <wp:anchor distT="0" distB="0" distL="114300" distR="114300" simplePos="0" relativeHeight="251666432" behindDoc="0" locked="1" layoutInCell="1" allowOverlap="1" wp14:anchorId="3D455916" wp14:editId="287778F6">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710DC79B" w14:textId="575276BA" w:rsidR="00A511F2" w:rsidRPr="00A511F2" w:rsidRDefault="00BE1F1E" w:rsidP="00A511F2">
                          <w:pPr>
                            <w:pStyle w:val="Header"/>
                          </w:pPr>
                          <w:fldSimple w:instr=" STYLEREF  Title  \* MERGEFORMAT ">
                            <w:r w:rsidR="00BB632D">
                              <w:rPr>
                                <w:noProof/>
                              </w:rPr>
                              <w:t>Destwerdana Derve ya di Civakê de</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55916"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710DC79B" w14:textId="575276BA" w:rsidR="00A511F2" w:rsidRPr="00A511F2" w:rsidRDefault="00BE1F1E" w:rsidP="00A511F2">
                    <w:pPr>
                      <w:pStyle w:val="Header"/>
                    </w:pPr>
                    <w:fldSimple w:instr=" STYLEREF  Title  \* MERGEFORMAT ">
                      <w:r w:rsidR="00BB632D">
                        <w:rPr>
                          <w:noProof/>
                        </w:rPr>
                        <w:t>Destwerdana Derve ya di Civakê de</w:t>
                      </w:r>
                    </w:fldSimple>
                  </w:p>
                </w:txbxContent>
              </v:textbox>
              <w10:wrap anchorx="page" anchory="page"/>
              <w10:anchorlock/>
            </v:shape>
          </w:pict>
        </mc:Fallback>
      </mc:AlternateContent>
    </w:r>
    <w:r>
      <w:rPr>
        <w:noProof/>
        <w:lang w:eastAsia="en-AU"/>
      </w:rPr>
      <w:drawing>
        <wp:inline distT="0" distB="0" distL="0" distR="0" wp14:anchorId="0A68324A" wp14:editId="5A5DE7D8">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5408" behindDoc="1" locked="1" layoutInCell="1" allowOverlap="1" wp14:anchorId="5F9434B1" wp14:editId="53B6415E">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28F06" w14:textId="77777777" w:rsidR="000C24D7" w:rsidRDefault="00A511F2" w:rsidP="00C510F4">
    <w:r>
      <w:rPr>
        <w:noProof/>
        <w:lang w:eastAsia="en-AU"/>
      </w:rPr>
      <w:drawing>
        <wp:inline distT="0" distB="0" distL="0" distR="0" wp14:anchorId="34D3CECC" wp14:editId="3CB12A0C">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73A6E234" wp14:editId="6440C88B">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76C19"/>
    <w:multiLevelType w:val="hybridMultilevel"/>
    <w:tmpl w:val="8FF40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E72249"/>
    <w:multiLevelType w:val="multilevel"/>
    <w:tmpl w:val="5420CB8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074764"/>
    <w:multiLevelType w:val="hybridMultilevel"/>
    <w:tmpl w:val="36BE6B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BE723A"/>
    <w:multiLevelType w:val="hybridMultilevel"/>
    <w:tmpl w:val="282A40E4"/>
    <w:lvl w:ilvl="0" w:tplc="0C090005">
      <w:start w:val="1"/>
      <w:numFmt w:val="bullet"/>
      <w:lvlText w:val=""/>
      <w:lvlJc w:val="left"/>
      <w:pPr>
        <w:ind w:left="720" w:hanging="360"/>
      </w:pPr>
      <w:rPr>
        <w:rFonts w:ascii="Wingdings" w:hAnsi="Wingding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AC7E06"/>
    <w:multiLevelType w:val="hybridMultilevel"/>
    <w:tmpl w:val="DB6EB0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051872">
    <w:abstractNumId w:val="2"/>
  </w:num>
  <w:num w:numId="2" w16cid:durableId="1658263782">
    <w:abstractNumId w:val="4"/>
  </w:num>
  <w:num w:numId="3" w16cid:durableId="701711725">
    <w:abstractNumId w:val="0"/>
  </w:num>
  <w:num w:numId="4" w16cid:durableId="564998893">
    <w:abstractNumId w:val="1"/>
  </w:num>
  <w:num w:numId="5" w16cid:durableId="1253272487">
    <w:abstractNumId w:val="6"/>
  </w:num>
  <w:num w:numId="6" w16cid:durableId="1895311768">
    <w:abstractNumId w:val="3"/>
  </w:num>
  <w:num w:numId="7" w16cid:durableId="49731092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C24D7"/>
    <w:rsid w:val="00123FB1"/>
    <w:rsid w:val="001351DF"/>
    <w:rsid w:val="00142674"/>
    <w:rsid w:val="001B41EF"/>
    <w:rsid w:val="001D1906"/>
    <w:rsid w:val="0032583E"/>
    <w:rsid w:val="00330380"/>
    <w:rsid w:val="0037685B"/>
    <w:rsid w:val="00433C38"/>
    <w:rsid w:val="004548F9"/>
    <w:rsid w:val="00457F01"/>
    <w:rsid w:val="004750FC"/>
    <w:rsid w:val="004B59E3"/>
    <w:rsid w:val="005B3F74"/>
    <w:rsid w:val="00667EA3"/>
    <w:rsid w:val="006826E8"/>
    <w:rsid w:val="006A36CF"/>
    <w:rsid w:val="00722AB7"/>
    <w:rsid w:val="00742E59"/>
    <w:rsid w:val="007513C9"/>
    <w:rsid w:val="007D4376"/>
    <w:rsid w:val="007E29D6"/>
    <w:rsid w:val="00811753"/>
    <w:rsid w:val="00815ABE"/>
    <w:rsid w:val="0081664D"/>
    <w:rsid w:val="00865E93"/>
    <w:rsid w:val="00890255"/>
    <w:rsid w:val="008A3297"/>
    <w:rsid w:val="008B4EE1"/>
    <w:rsid w:val="008D4ED7"/>
    <w:rsid w:val="00921EB0"/>
    <w:rsid w:val="00975EAF"/>
    <w:rsid w:val="00A24784"/>
    <w:rsid w:val="00A511F2"/>
    <w:rsid w:val="00A66AF7"/>
    <w:rsid w:val="00AF26E9"/>
    <w:rsid w:val="00B104E2"/>
    <w:rsid w:val="00BB632D"/>
    <w:rsid w:val="00BE1F1E"/>
    <w:rsid w:val="00C43814"/>
    <w:rsid w:val="00C510F4"/>
    <w:rsid w:val="00C637F5"/>
    <w:rsid w:val="00C64746"/>
    <w:rsid w:val="00C90B78"/>
    <w:rsid w:val="00CE299D"/>
    <w:rsid w:val="00D94528"/>
    <w:rsid w:val="00DC6B79"/>
    <w:rsid w:val="00E24265"/>
    <w:rsid w:val="00E2626A"/>
    <w:rsid w:val="00E55BE8"/>
    <w:rsid w:val="00ED29EA"/>
    <w:rsid w:val="00EE0CC6"/>
    <w:rsid w:val="00F371ED"/>
    <w:rsid w:val="00F54E85"/>
    <w:rsid w:val="00FA51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9DBC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BA50-459B-48E3-9D6C-06E160C9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6389</Characters>
  <Application>Microsoft Office Word</Application>
  <DocSecurity>0</DocSecurity>
  <Lines>136</Lines>
  <Paragraphs>94</Paragraphs>
  <ScaleCrop>false</ScaleCrop>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Interference in the Community factsheet - Kurdish Kurmanji</dc:title>
  <dc:subject/>
  <dc:creator/>
  <cp:keywords>[SEC=UNOFFICIAL]</cp:keywords>
  <dc:description/>
  <cp:lastModifiedBy/>
  <cp:revision>1</cp:revision>
  <dcterms:created xsi:type="dcterms:W3CDTF">2025-04-15T22:40:00Z</dcterms:created>
  <dcterms:modified xsi:type="dcterms:W3CDTF">2025-04-15T22:40:00Z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46B8FFA1F5869C68B9EBE37432DB757C</vt:lpwstr>
  </property>
  <property fmtid="{D5CDD505-2E9C-101B-9397-08002B2CF9AE}" pid="14" name="PM_Hash_Salt">
    <vt:lpwstr>FE061C08C504A5E6E7F169E87F1A8F68</vt:lpwstr>
  </property>
  <property fmtid="{D5CDD505-2E9C-101B-9397-08002B2CF9AE}" pid="15" name="PM_Hash_SHA1">
    <vt:lpwstr>70F51E7BAE5C38FEBF67D4878B566E5B58A04903</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v=2022.1;a=SHA256;h=5B666953961FC4DE3E9019E49AA591F24C550625BEE34706C6B787714BF42697</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