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94F68" w14:textId="77777777" w:rsidR="00F371ED" w:rsidRPr="00110C6F" w:rsidRDefault="00DE7CA5" w:rsidP="00F371ED">
      <w:pPr>
        <w:pStyle w:val="Title"/>
      </w:pPr>
      <w:r w:rsidRPr="00DE7CA5">
        <w:t>İcmaya xarici müdaxilə</w:t>
      </w:r>
      <w:r w:rsidR="00742E59">
        <w:t xml:space="preserve"> </w:t>
      </w:r>
    </w:p>
    <w:p w14:paraId="056831E9" w14:textId="77777777" w:rsidR="00DE7CA5" w:rsidRDefault="00DE7CA5" w:rsidP="00F371ED">
      <w:pPr>
        <w:pStyle w:val="IssueDateURL"/>
      </w:pPr>
    </w:p>
    <w:p w14:paraId="094F650E" w14:textId="77777777" w:rsidR="00DE7CA5" w:rsidRDefault="00DE7CA5" w:rsidP="00F371ED">
      <w:pPr>
        <w:pStyle w:val="IssueDateURL"/>
      </w:pPr>
      <w:r w:rsidRPr="00DE7CA5">
        <w:t xml:space="preserve">Xarici hökumətlərin təhdid və hədə-qorxularını necə bildirmək olar </w:t>
      </w:r>
    </w:p>
    <w:p w14:paraId="45E48069" w14:textId="77777777" w:rsidR="00F371ED" w:rsidRPr="00D57CCF" w:rsidRDefault="00F371ED" w:rsidP="00F371ED">
      <w:pPr>
        <w:pStyle w:val="IssueDateURL"/>
      </w:pPr>
      <w:r w:rsidRPr="002F1C7B">
        <w:rPr>
          <w:rStyle w:val="Strong"/>
        </w:rPr>
        <w:t>FACTSHEET</w:t>
      </w:r>
      <w:r>
        <w:t xml:space="preserve">  </w:t>
      </w:r>
      <w:r w:rsidRPr="00D57CCF">
        <w:rPr>
          <w:rStyle w:val="BoldRed"/>
        </w:rPr>
        <w:t>/</w:t>
      </w:r>
      <w:r>
        <w:t xml:space="preserve">  </w:t>
      </w:r>
      <w:r w:rsidR="00E51F2D">
        <w:t>April</w:t>
      </w:r>
      <w:r>
        <w:t xml:space="preserve"> </w:t>
      </w:r>
      <w:r w:rsidR="00742E59">
        <w:t>2023</w:t>
      </w:r>
      <w:r>
        <w:tab/>
      </w:r>
      <w:r w:rsidRPr="002F1C7B">
        <w:rPr>
          <w:rStyle w:val="Strong"/>
        </w:rPr>
        <w:t>afp.gov.au</w:t>
      </w:r>
    </w:p>
    <w:p w14:paraId="6A1F0A11" w14:textId="77777777" w:rsidR="004B59E3" w:rsidRPr="00F371ED" w:rsidRDefault="004B59E3" w:rsidP="00F371ED">
      <w:pPr>
        <w:pStyle w:val="Spacer-pg1"/>
      </w:pPr>
    </w:p>
    <w:p w14:paraId="43D22AC8" w14:textId="77777777" w:rsidR="004B59E3" w:rsidRPr="004B59E3" w:rsidRDefault="004B59E3" w:rsidP="00F371ED">
      <w:pPr>
        <w:spacing w:after="360"/>
        <w:sectPr w:rsidR="004B59E3" w:rsidRPr="004B59E3" w:rsidSect="00457F01">
          <w:headerReference w:type="default" r:id="rId8"/>
          <w:footerReference w:type="default" r:id="rId9"/>
          <w:headerReference w:type="first" r:id="rId10"/>
          <w:footerReference w:type="first" r:id="rId11"/>
          <w:pgSz w:w="11906" w:h="16838" w:code="9"/>
          <w:pgMar w:top="2041" w:right="1134" w:bottom="1134" w:left="1134" w:header="550" w:footer="459" w:gutter="0"/>
          <w:cols w:space="720"/>
          <w:titlePg/>
          <w:docGrid w:linePitch="360"/>
        </w:sectPr>
      </w:pPr>
    </w:p>
    <w:p w14:paraId="70C0171D" w14:textId="77777777" w:rsidR="00DE7CA5" w:rsidRPr="00D21BCE" w:rsidRDefault="00DE7CA5" w:rsidP="00DE7CA5">
      <w:pPr>
        <w:pStyle w:val="Heading1"/>
      </w:pPr>
      <w:r>
        <w:t>Müqəddimə</w:t>
      </w:r>
    </w:p>
    <w:p w14:paraId="1443B949" w14:textId="77777777" w:rsidR="00DE7CA5" w:rsidRPr="00CB5D46" w:rsidRDefault="00DE7CA5" w:rsidP="00DE7CA5">
      <w:r>
        <w:t xml:space="preserve">Xarici müdaxilə Avstraliya xalqına, suverenliyinə və təhlükəsizliyinə və milli institutlarımızın bütövlüyünə ciddi təhlükə yaradır. Xarici müdaxilə təhdidləri Avstraliya icmasının bir sektoru ilə məhdudlaşmır və ya tək bir milli dövlət tərəfindən həyata keçirilmir. Düşmən xarici dövlət aktyorları (digər ölkələrə qarşı düşmənçilik fəaliyyəti göstərən ölkələr) Avstraliya hökumətin bütün səviyyələrində və bir sıra sektorlarda, o cümlədən: demokratik təsisatlar; təhsil və tədqiqat; media və rabitə; kritik infrastruktur; və ən əsası, mədəni və dil baxımından müxtəlif icmalarımızi (CALD) </w:t>
      </w:r>
      <w:r w:rsidRPr="006C286A">
        <w:t>müdaxilə etmək imkanları yaradır və ardınca gedirlər</w:t>
      </w:r>
      <w:r>
        <w:t>.</w:t>
      </w:r>
    </w:p>
    <w:p w14:paraId="0527E1D7" w14:textId="77777777" w:rsidR="00DE7CA5" w:rsidRPr="00D21BCE" w:rsidRDefault="00DE7CA5" w:rsidP="00DE7CA5">
      <w:pPr>
        <w:pStyle w:val="Heading1"/>
      </w:pPr>
      <w:r w:rsidRPr="00DE7CA5">
        <w:t>İcmaya</w:t>
      </w:r>
      <w:r>
        <w:t xml:space="preserve"> xarici müdaxilə</w:t>
      </w:r>
    </w:p>
    <w:p w14:paraId="660FB10C" w14:textId="77777777" w:rsidR="00DE7CA5" w:rsidRDefault="00DE7CA5" w:rsidP="00DE7CA5">
      <w:r>
        <w:t xml:space="preserve">İcmaya xarici müdaxilə Avstraliyanın multikultural həyat tərzinə zərər və təsir göstərmək məqsədilə xarici hökumətlər tərəfindən yönəldilmiş, nəzarət edilən və ya maliyyələşdirilən və CALD icmalarına yönəlmiş təhdid və hədə-qorxu kimi müəyyən edilir. Xarici hökumətlər bir sıra məqsədlər üçün icmalara müdaxilə edə bilər:  </w:t>
      </w:r>
    </w:p>
    <w:p w14:paraId="0307FF31" w14:textId="77777777" w:rsidR="00DE7CA5" w:rsidRPr="000748A7" w:rsidRDefault="00DE7CA5" w:rsidP="00DE7CA5">
      <w:pPr>
        <w:pStyle w:val="ListBullet"/>
      </w:pPr>
      <w:r w:rsidRPr="000748A7">
        <w:t xml:space="preserve">xarici hökumətin daxili və xarici siyasətinin tənqidini susdurmaq </w:t>
      </w:r>
    </w:p>
    <w:p w14:paraId="64D5A881" w14:textId="77777777" w:rsidR="00DE7CA5" w:rsidRPr="000748A7" w:rsidRDefault="00DE7CA5" w:rsidP="00DE7CA5">
      <w:pPr>
        <w:pStyle w:val="ListBullet"/>
      </w:pPr>
      <w:r w:rsidRPr="000748A7">
        <w:t>CALD qruplarının üzvlərinin fəaliyyətinə (oflayn və onlayn) nəzarət etmək</w:t>
      </w:r>
    </w:p>
    <w:p w14:paraId="73AE556C" w14:textId="77777777" w:rsidR="00DE7CA5" w:rsidRPr="000748A7" w:rsidRDefault="00DE7CA5" w:rsidP="00DE7CA5">
      <w:pPr>
        <w:pStyle w:val="ListBullet"/>
      </w:pPr>
      <w:r w:rsidRPr="000748A7">
        <w:t xml:space="preserve">xarici hökumətin fikir və siyasətini təbliğ etmək </w:t>
      </w:r>
    </w:p>
    <w:p w14:paraId="02100B0C" w14:textId="77777777" w:rsidR="00DE7CA5" w:rsidRDefault="00DE7CA5" w:rsidP="00DE7CA5">
      <w:pPr>
        <w:pStyle w:val="ListBullet"/>
      </w:pPr>
      <w:r w:rsidRPr="000748A7">
        <w:t>xarici hökumətin xeyrinə məlumat əldə etmək</w:t>
      </w:r>
    </w:p>
    <w:p w14:paraId="3C8473BF" w14:textId="77777777" w:rsidR="00DE7CA5" w:rsidRPr="0032005B" w:rsidRDefault="00DE7CA5" w:rsidP="00DE7CA5">
      <w:pPr>
        <w:pStyle w:val="ListBullet"/>
      </w:pPr>
      <w:r w:rsidRPr="000748A7">
        <w:t>daha geniş əhalinin fikir və rəylərinə təsir etmək.</w:t>
      </w:r>
    </w:p>
    <w:p w14:paraId="40593C8F" w14:textId="77777777" w:rsidR="00DE7CA5" w:rsidRPr="00D21BCE" w:rsidRDefault="00DE7CA5" w:rsidP="00DE7CA5">
      <w:pPr>
        <w:pStyle w:val="Heading1"/>
      </w:pPr>
      <w:r>
        <w:t>Cəmiyyətə xarici müdaxilə müxtəlif formalarda ola bilər</w:t>
      </w:r>
    </w:p>
    <w:p w14:paraId="3A750015" w14:textId="77777777" w:rsidR="00DE7CA5" w:rsidRPr="00C7673C" w:rsidRDefault="00DE7CA5" w:rsidP="00DE7CA5">
      <w:r>
        <w:t>cümlədən:</w:t>
      </w:r>
    </w:p>
    <w:p w14:paraId="35910011" w14:textId="77777777" w:rsidR="00DE7CA5" w:rsidRPr="00D21BCE" w:rsidRDefault="00DE7CA5" w:rsidP="00DE7CA5">
      <w:pPr>
        <w:pStyle w:val="ListBullet"/>
      </w:pPr>
      <w:r>
        <w:t xml:space="preserve">Hücum və ya hücum təhdidləri </w:t>
      </w:r>
    </w:p>
    <w:p w14:paraId="16BC6F3C" w14:textId="77777777" w:rsidR="00DE7CA5" w:rsidRPr="00D21BCE" w:rsidRDefault="00DE7CA5" w:rsidP="00DE7CA5">
      <w:pPr>
        <w:pStyle w:val="ListBullet"/>
      </w:pPr>
      <w:r>
        <w:t xml:space="preserve">Şantaj </w:t>
      </w:r>
    </w:p>
    <w:p w14:paraId="56040938" w14:textId="77777777" w:rsidR="00DE7CA5" w:rsidRDefault="00DE7CA5" w:rsidP="00DE7CA5">
      <w:pPr>
        <w:pStyle w:val="ListBullet"/>
      </w:pPr>
      <w:r>
        <w:t xml:space="preserve">Adam oğurluğu, qanunsuz həbs və ya azadlıqdan məhrum etmə </w:t>
      </w:r>
    </w:p>
    <w:p w14:paraId="73E27A90" w14:textId="77777777" w:rsidR="00DE7CA5" w:rsidRPr="00D21BCE" w:rsidRDefault="00DE7CA5" w:rsidP="00DE7CA5">
      <w:pPr>
        <w:pStyle w:val="ListBullet"/>
      </w:pPr>
      <w:r>
        <w:t xml:space="preserve">Stalking və arzuolunmaz fiziki və ya elektron nəzarət </w:t>
      </w:r>
    </w:p>
    <w:p w14:paraId="5284E29E" w14:textId="77777777" w:rsidR="00DE7CA5" w:rsidRPr="00D21BCE" w:rsidRDefault="00DE7CA5" w:rsidP="00DE7CA5">
      <w:pPr>
        <w:pStyle w:val="ListBullet"/>
      </w:pPr>
      <w:r>
        <w:t>Şəxsin ailəsini və ya xaricdəki iş yoldaşlarını hədələyərək onlara əməl etməyə məcbur etmək</w:t>
      </w:r>
    </w:p>
    <w:p w14:paraId="4EF6AE6D" w14:textId="77777777" w:rsidR="00DE7CA5" w:rsidRDefault="00DE7CA5" w:rsidP="00DE7CA5">
      <w:pPr>
        <w:pStyle w:val="ListBullet"/>
      </w:pPr>
      <w:r w:rsidRPr="00D21BCE">
        <w:t xml:space="preserve">Bir şəxsi və ya qrupu gözdən salmaq üçün sosial media vasitəsilə onlayn dezinformasiya kampaniyaları. </w:t>
      </w:r>
    </w:p>
    <w:p w14:paraId="688E5C12" w14:textId="77777777" w:rsidR="00DE7CA5" w:rsidRDefault="00DE7CA5" w:rsidP="00DE7CA5">
      <w:pPr>
        <w:spacing w:after="200"/>
        <w:rPr>
          <w:rFonts w:cstheme="minorHAnsi"/>
        </w:rPr>
      </w:pPr>
      <w:r>
        <w:rPr>
          <w:rFonts w:cstheme="minorHAnsi"/>
        </w:rPr>
        <w:br w:type="page"/>
      </w:r>
    </w:p>
    <w:p w14:paraId="386EFB87" w14:textId="77777777" w:rsidR="00DE7CA5" w:rsidRPr="003838DF" w:rsidRDefault="00DE7CA5" w:rsidP="00DE7CA5">
      <w:r w:rsidRPr="003838DF">
        <w:lastRenderedPageBreak/>
        <w:t xml:space="preserve">Əhəmiyyətli odur ki, </w:t>
      </w:r>
      <w:r w:rsidRPr="003838DF">
        <w:rPr>
          <w:i/>
        </w:rPr>
        <w:t>1995-ci il Cinayət Məcəlləsinə</w:t>
      </w:r>
      <w:r w:rsidRPr="003838DF">
        <w:t xml:space="preserve"> (Cth) uyğun olaraq xarici müdaxiləni təşkil etmək üçün fəaliyyət xarici hökumət və ya onun vəkil etdiyi şəxslə </w:t>
      </w:r>
      <w:r w:rsidRPr="003838DF">
        <w:rPr>
          <w:u w:val="single"/>
        </w:rPr>
        <w:t>əlaqələndirilməlidir</w:t>
      </w:r>
      <w:r w:rsidRPr="003838DF">
        <w:t xml:space="preserve">. Cinayəti qiymətləndirərkən hüquq-mühafizə orqanları Avstraliya əyaləti və ya ərazisi cinayətlərini də nəzərdən keçirə bilər. </w:t>
      </w:r>
    </w:p>
    <w:p w14:paraId="14B42D7B" w14:textId="77777777" w:rsidR="00DE7CA5" w:rsidRPr="00D21BCE" w:rsidRDefault="00DE7CA5" w:rsidP="00DE7CA5">
      <w:pPr>
        <w:pStyle w:val="Heading1"/>
      </w:pPr>
      <w:r w:rsidRPr="00DE7CA5">
        <w:t>Kim</w:t>
      </w:r>
      <w:r w:rsidRPr="00D21BCE">
        <w:t xml:space="preserve"> hədəfdədir?</w:t>
      </w:r>
    </w:p>
    <w:p w14:paraId="5F418D71" w14:textId="77777777" w:rsidR="00DE7CA5" w:rsidRPr="00D21BCE" w:rsidRDefault="00DE7CA5" w:rsidP="00DE7CA5">
      <w:r w:rsidRPr="00D21BCE">
        <w:t>Xarici hökumətlər aşağıdakıları hədəfləyə bilər:</w:t>
      </w:r>
    </w:p>
    <w:p w14:paraId="70DC0602" w14:textId="77777777" w:rsidR="00DE7CA5" w:rsidRDefault="00DE7CA5" w:rsidP="00DE7CA5">
      <w:pPr>
        <w:pStyle w:val="ListBullet"/>
      </w:pPr>
      <w:r>
        <w:t>Avstraliyada yaşayan keçmiş və ya indiki vətəndaşlar</w:t>
      </w:r>
    </w:p>
    <w:p w14:paraId="43DF7263" w14:textId="77777777" w:rsidR="00DE7CA5" w:rsidRPr="00D21BCE" w:rsidRDefault="00DE7CA5" w:rsidP="00DE7CA5">
      <w:pPr>
        <w:pStyle w:val="ListBullet"/>
      </w:pPr>
      <w:r w:rsidRPr="00D21BCE">
        <w:t xml:space="preserve">Siyasi və insan hüquq müdafiəçiləri </w:t>
      </w:r>
    </w:p>
    <w:p w14:paraId="6E341CF3" w14:textId="77777777" w:rsidR="00DE7CA5" w:rsidRPr="00D21BCE" w:rsidRDefault="00DE7CA5" w:rsidP="00DE7CA5">
      <w:pPr>
        <w:pStyle w:val="ListBullet"/>
      </w:pPr>
      <w:r w:rsidRPr="00D21BCE">
        <w:t xml:space="preserve">Dissidentlər </w:t>
      </w:r>
    </w:p>
    <w:p w14:paraId="60478013" w14:textId="77777777" w:rsidR="00DE7CA5" w:rsidRPr="00D21BCE" w:rsidRDefault="00DE7CA5" w:rsidP="00DE7CA5">
      <w:pPr>
        <w:pStyle w:val="ListBullet"/>
      </w:pPr>
      <w:r w:rsidRPr="00D21BCE">
        <w:t xml:space="preserve">Jurnalistlər </w:t>
      </w:r>
    </w:p>
    <w:p w14:paraId="32094506" w14:textId="77777777" w:rsidR="00DE7CA5" w:rsidRPr="00D21BCE" w:rsidRDefault="00DE7CA5" w:rsidP="00DE7CA5">
      <w:pPr>
        <w:pStyle w:val="ListBullet"/>
      </w:pPr>
      <w:r w:rsidRPr="00D21BCE">
        <w:t>Siyasi müxaliflər</w:t>
      </w:r>
    </w:p>
    <w:p w14:paraId="28A9D524" w14:textId="77777777" w:rsidR="00DE7CA5" w:rsidRDefault="00DE7CA5" w:rsidP="00DE7CA5">
      <w:pPr>
        <w:pStyle w:val="ListBullet"/>
      </w:pPr>
      <w:r w:rsidRPr="00D21BCE">
        <w:t xml:space="preserve">Dini və ya etnik azlıq qrupları. </w:t>
      </w:r>
    </w:p>
    <w:p w14:paraId="16629761" w14:textId="77777777" w:rsidR="00DE7CA5" w:rsidRPr="00D21BCE" w:rsidRDefault="00DE7CA5" w:rsidP="00DE7CA5">
      <w:pPr>
        <w:pStyle w:val="Heading1"/>
      </w:pPr>
      <w:r w:rsidRPr="00D21BCE">
        <w:t>Kömək etmək üçün nə edə bilərəm?</w:t>
      </w:r>
    </w:p>
    <w:p w14:paraId="5F561AC9" w14:textId="77777777" w:rsidR="00DE7CA5" w:rsidRDefault="00DE7CA5" w:rsidP="00DE7CA5">
      <w:r w:rsidRPr="00250472">
        <w:t xml:space="preserve">İcmaya xarici müdaxilə ilə bağlı bütün raporlar AFP-nin açıq-aşkar reaksiyasını yaratmasa da, hər bir rapor ortaya çıxan problemlərin </w:t>
      </w:r>
      <w:r w:rsidRPr="00445B8A">
        <w:rPr>
          <w:b/>
        </w:rPr>
        <w:t>mənzərəsini yaratmağa kömək edir</w:t>
      </w:r>
      <w:r w:rsidRPr="00250472">
        <w:t>.</w:t>
      </w:r>
    </w:p>
    <w:p w14:paraId="054E73DB" w14:textId="77777777" w:rsidR="00DE7CA5" w:rsidRPr="00334E2C" w:rsidRDefault="00DE7CA5" w:rsidP="00DE7CA5">
      <w:r>
        <w:t xml:space="preserve">Cəmiyyətə hər hansı narahatlıq və/ya xarici müdaxilə </w:t>
      </w:r>
      <w:r w:rsidRPr="0035512C">
        <w:t>halları barədə Milli Təhlükəsizlik Qaynar Xəttinə</w:t>
      </w:r>
      <w:r w:rsidRPr="00445B8A">
        <w:rPr>
          <w:b/>
        </w:rPr>
        <w:t xml:space="preserve"> (National Security Hotline) (NSH) </w:t>
      </w:r>
      <w:r w:rsidRPr="0035512C">
        <w:rPr>
          <w:bCs/>
        </w:rPr>
        <w:t>məlumat verilə bilər.</w:t>
      </w:r>
      <w:r>
        <w:t xml:space="preserve"> </w:t>
      </w:r>
    </w:p>
    <w:p w14:paraId="2DBF3C13" w14:textId="77777777" w:rsidR="00DE7CA5" w:rsidRDefault="00DE7CA5" w:rsidP="00DE7CA5">
      <w:pPr>
        <w:pStyle w:val="ListBullet"/>
      </w:pPr>
      <w:r>
        <w:t>NSH gündə 24 saat, həftənin 7 günü fəaliyyət göstərir və cəmiyyətə mümkün xarici müdaxilə ilə bağlı narahatlıqları bildirmək üçün mərkəzi əlaqə nöqtəsidir.</w:t>
      </w:r>
    </w:p>
    <w:p w14:paraId="1C70827E" w14:textId="77777777" w:rsidR="00DE7CA5" w:rsidRDefault="00DE7CA5" w:rsidP="00DE7CA5">
      <w:pPr>
        <w:pStyle w:val="ListBullet"/>
      </w:pPr>
      <w:r>
        <w:t xml:space="preserve">NSH operatorları təqdim etdiyiniz məlumatla nə edəcəyini biləcəklər və lazım olduqda, qiymətləndirmə üçün hüquq-mühafizə və təhlükəsizlik orqanlarına ötürəcəklər.   </w:t>
      </w:r>
    </w:p>
    <w:p w14:paraId="234ACA3B" w14:textId="77777777" w:rsidR="00DE7CA5" w:rsidRDefault="00DE7CA5" w:rsidP="00DE7CA5">
      <w:pPr>
        <w:pStyle w:val="ListBullet"/>
      </w:pPr>
      <w:r>
        <w:t>NSH operatorları hər bir zəngə ciddi yanaşır və alınan bütün məlumatları qiymətləndirir.</w:t>
      </w:r>
    </w:p>
    <w:p w14:paraId="073D0497" w14:textId="77777777" w:rsidR="00DE7CA5" w:rsidRPr="00193422" w:rsidRDefault="00DE7CA5" w:rsidP="00DE7CA5">
      <w:pPr>
        <w:pStyle w:val="ListBullet"/>
      </w:pPr>
      <w:r>
        <w:t>Biz bilirik ki, narahatlıq doğuran bir məsələ barədə məlumat vermək böyük bir addım ola bilər. Məxfilik hüququnuzu ciddi qəbul edirik. Anonim qalmaq istəyirsinizsə operatora bildirin.</w:t>
      </w:r>
    </w:p>
    <w:p w14:paraId="4AE5CF73" w14:textId="77777777" w:rsidR="00DE7CA5" w:rsidRPr="005F56B0" w:rsidRDefault="00DE7CA5" w:rsidP="00DE7CA5">
      <w:pPr>
        <w:pStyle w:val="ListBullet"/>
      </w:pPr>
      <w:r w:rsidRPr="00D21BCE">
        <w:t>Məlumatın həssas təbiətinə görə, zənginizin və ya e-poçtunuzun nəticəsi ilə bağlı məsləhət almayacaqsınız.</w:t>
      </w:r>
    </w:p>
    <w:p w14:paraId="6D544A43" w14:textId="77777777" w:rsidR="00DE7CA5" w:rsidRDefault="00DE7CA5" w:rsidP="00DE7CA5">
      <w:r>
        <w:t>Təqdim etdiyiniz məlumat AFP-nin cəmiyyətə xarici müdaxilənin qarşısını almaq üçün ehtiyac duyduğu çatışmazlıq ola bilər.</w:t>
      </w:r>
    </w:p>
    <w:p w14:paraId="55B1E439" w14:textId="77777777" w:rsidR="00DE7CA5" w:rsidRPr="005F56B0" w:rsidRDefault="00DE7CA5" w:rsidP="00DE7CA5">
      <w:r>
        <w:rPr>
          <w:b/>
        </w:rPr>
        <w:t>NSH</w:t>
      </w:r>
      <w:r>
        <w:t xml:space="preserve"> ilə əlaqə qurmağın bir neçə yolu var:</w:t>
      </w:r>
    </w:p>
    <w:p w14:paraId="248D5086" w14:textId="77777777" w:rsidR="00DE7CA5" w:rsidRPr="00D21BCE" w:rsidRDefault="00DE7CA5" w:rsidP="00DE7CA5">
      <w:pPr>
        <w:pStyle w:val="ListBullet"/>
      </w:pPr>
      <w:r w:rsidRPr="00D21BCE">
        <w:t>Zəng edin: 1800 123 400</w:t>
      </w:r>
    </w:p>
    <w:p w14:paraId="5C56FB25" w14:textId="77777777" w:rsidR="00DE7CA5" w:rsidRDefault="00DE7CA5" w:rsidP="00DE7CA5">
      <w:pPr>
        <w:pStyle w:val="ListBullet2"/>
      </w:pPr>
      <w:r w:rsidRPr="00D21BCE">
        <w:t>Avstraliyadan kənardan: (+61) 1300 123 401</w:t>
      </w:r>
    </w:p>
    <w:p w14:paraId="0FEDABD0" w14:textId="77777777" w:rsidR="00DE7CA5" w:rsidRPr="00DE7CA5" w:rsidRDefault="00DE7CA5" w:rsidP="00DE7CA5">
      <w:pPr>
        <w:pStyle w:val="ListBullet2"/>
        <w:rPr>
          <w:rStyle w:val="Hyperlink"/>
          <w:rFonts w:cstheme="minorHAnsi"/>
          <w:color w:val="auto"/>
        </w:rPr>
      </w:pPr>
      <w:r w:rsidRPr="00445B8A">
        <w:rPr>
          <w:rStyle w:val="Hyperlink"/>
          <w:rFonts w:cstheme="minorHAnsi"/>
          <w:color w:val="auto"/>
        </w:rPr>
        <w:t>TTY istifadəçiləri üçün (eşitmə qabiliyyəti olmayan istifadəçilər): 1800 234 889</w:t>
      </w:r>
    </w:p>
    <w:p w14:paraId="2BE4F739" w14:textId="77777777" w:rsidR="00DE7CA5" w:rsidRPr="00DE7CA5" w:rsidRDefault="00DE7CA5" w:rsidP="00DE7CA5">
      <w:pPr>
        <w:pStyle w:val="ListBullet2"/>
        <w:rPr>
          <w:b/>
        </w:rPr>
      </w:pPr>
      <w:r w:rsidRPr="00DE7CA5">
        <w:rPr>
          <w:b/>
        </w:rPr>
        <w:t>Əgər tərcüməçiyə ehtiyacınız varsa, lütfən, 131 450 nömrəsinə Tərcümə və Tərcüməci Xidmətinə zəng edin və Milli Təhlükəsizlik Qaynar Xəttinə (National Security Hotline) zəng etməyi xahiş edin.</w:t>
      </w:r>
    </w:p>
    <w:p w14:paraId="09ED0314" w14:textId="77777777" w:rsidR="00DE7CA5" w:rsidRPr="003A1C38" w:rsidRDefault="00DE7CA5" w:rsidP="00DE7CA5">
      <w:pPr>
        <w:pStyle w:val="ListBullet"/>
        <w:rPr>
          <w:b/>
        </w:rPr>
      </w:pPr>
      <w:r w:rsidRPr="003A1C38">
        <w:rPr>
          <w:b/>
        </w:rPr>
        <w:t>SMS</w:t>
      </w:r>
    </w:p>
    <w:p w14:paraId="649BC0AC" w14:textId="1BEA69D1" w:rsidR="00DE7CA5" w:rsidRPr="00445B8A" w:rsidRDefault="00DE7CA5" w:rsidP="00DE7CA5">
      <w:pPr>
        <w:pStyle w:val="ListBullet2"/>
      </w:pPr>
      <w:r w:rsidRPr="00445B8A">
        <w:t xml:space="preserve">Zəhmət olmasa məlumatlarınızı </w:t>
      </w:r>
      <w:r w:rsidR="00213A9D" w:rsidRPr="00213A9D">
        <w:t>0498 562 549</w:t>
      </w:r>
      <w:r w:rsidR="00213A9D">
        <w:t xml:space="preserve"> </w:t>
      </w:r>
      <w:r w:rsidRPr="00445B8A">
        <w:t>nömrəsinə mesajla göndərin</w:t>
      </w:r>
    </w:p>
    <w:p w14:paraId="463B7F58" w14:textId="77777777" w:rsidR="00DE7CA5" w:rsidRPr="003A1C38" w:rsidRDefault="00DE7CA5" w:rsidP="00DE7CA5">
      <w:pPr>
        <w:pStyle w:val="ListBullet"/>
        <w:rPr>
          <w:b/>
        </w:rPr>
      </w:pPr>
      <w:r w:rsidRPr="003A1C38">
        <w:rPr>
          <w:b/>
        </w:rPr>
        <w:t>E-poçt</w:t>
      </w:r>
    </w:p>
    <w:p w14:paraId="73912C48" w14:textId="77777777" w:rsidR="00DE7CA5" w:rsidRPr="0076029B" w:rsidRDefault="00DE7CA5" w:rsidP="00DE7CA5">
      <w:pPr>
        <w:pStyle w:val="ListBullet2"/>
        <w:rPr>
          <w:rStyle w:val="Hyperlink"/>
          <w:rFonts w:cstheme="minorHAnsi"/>
        </w:rPr>
      </w:pPr>
      <w:r>
        <w:lastRenderedPageBreak/>
        <w:t xml:space="preserve">Zəhmət olmasa məlumatlarınızı e-poçt vasitəsilə </w:t>
      </w:r>
      <w:hyperlink r:id="rId12" w:history="1">
        <w:r w:rsidRPr="00D21BCE">
          <w:rPr>
            <w:rStyle w:val="Hyperlink"/>
            <w:rFonts w:cstheme="minorHAnsi"/>
          </w:rPr>
          <w:t>hotline@nationalsecurity.gov.au</w:t>
        </w:r>
      </w:hyperlink>
      <w:r>
        <w:t xml:space="preserve"> ünvanına göndərin</w:t>
      </w:r>
    </w:p>
    <w:p w14:paraId="235CB3C7" w14:textId="77777777" w:rsidR="00DE7CA5" w:rsidRPr="003A1C38" w:rsidRDefault="00DE7CA5" w:rsidP="00DE7CA5">
      <w:pPr>
        <w:pStyle w:val="ListBullet"/>
        <w:rPr>
          <w:b/>
        </w:rPr>
      </w:pPr>
      <w:r w:rsidRPr="003A1C38">
        <w:rPr>
          <w:b/>
        </w:rPr>
        <w:t xml:space="preserve">Post: </w:t>
      </w:r>
    </w:p>
    <w:p w14:paraId="3669A93E" w14:textId="77777777" w:rsidR="00DE7CA5" w:rsidRDefault="00DE7CA5" w:rsidP="00DE7CA5">
      <w:pPr>
        <w:pStyle w:val="ListBullet2"/>
      </w:pPr>
      <w:r>
        <w:t>Zəhmət olmasa məlumatlarınızı poçt vasitəsilə bu ünvana göndərin:</w:t>
      </w:r>
      <w:r>
        <w:tab/>
      </w:r>
    </w:p>
    <w:p w14:paraId="0E8E8219" w14:textId="77777777" w:rsidR="00DE7CA5" w:rsidRPr="005F56B0" w:rsidRDefault="00DE7CA5" w:rsidP="00DE7CA5">
      <w:pPr>
        <w:spacing w:after="0" w:line="240" w:lineRule="auto"/>
        <w:ind w:left="1004" w:firstLine="360"/>
        <w:rPr>
          <w:rFonts w:cstheme="minorHAnsi"/>
        </w:rPr>
      </w:pPr>
      <w:r w:rsidRPr="005F56B0">
        <w:rPr>
          <w:rFonts w:cstheme="minorHAnsi"/>
        </w:rPr>
        <w:t>National Security Hotline</w:t>
      </w:r>
    </w:p>
    <w:p w14:paraId="0C21B301" w14:textId="77777777" w:rsidR="00DE7CA5" w:rsidRPr="005F56B0" w:rsidRDefault="00DE7CA5" w:rsidP="00DE7CA5">
      <w:pPr>
        <w:spacing w:after="0" w:line="240" w:lineRule="auto"/>
        <w:ind w:left="1004" w:firstLine="360"/>
        <w:rPr>
          <w:rFonts w:cstheme="minorHAnsi"/>
        </w:rPr>
      </w:pPr>
      <w:r w:rsidRPr="005F56B0">
        <w:rPr>
          <w:rFonts w:cstheme="minorHAnsi"/>
        </w:rPr>
        <w:t>Department of Home Affairs</w:t>
      </w:r>
    </w:p>
    <w:p w14:paraId="03DCF081" w14:textId="77777777" w:rsidR="00DE7CA5" w:rsidRPr="005F56B0" w:rsidRDefault="00DE7CA5" w:rsidP="00DE7CA5">
      <w:pPr>
        <w:spacing w:after="0" w:line="240" w:lineRule="auto"/>
        <w:ind w:left="1004" w:firstLine="360"/>
        <w:rPr>
          <w:rFonts w:cstheme="minorHAnsi"/>
        </w:rPr>
      </w:pPr>
      <w:r w:rsidRPr="005F56B0">
        <w:rPr>
          <w:rFonts w:cstheme="minorHAnsi"/>
        </w:rPr>
        <w:t>PO Box 25</w:t>
      </w:r>
    </w:p>
    <w:p w14:paraId="4E032EBF" w14:textId="77777777" w:rsidR="00DE7CA5" w:rsidRPr="005F56B0" w:rsidRDefault="00DE7CA5" w:rsidP="00DE7CA5">
      <w:pPr>
        <w:spacing w:after="0" w:line="240" w:lineRule="auto"/>
        <w:ind w:left="1004" w:firstLine="360"/>
        <w:rPr>
          <w:rFonts w:cstheme="minorHAnsi"/>
        </w:rPr>
      </w:pPr>
      <w:r w:rsidRPr="005F56B0">
        <w:rPr>
          <w:rFonts w:cstheme="minorHAnsi"/>
        </w:rPr>
        <w:t>Belconnen ACT 2616</w:t>
      </w:r>
    </w:p>
    <w:p w14:paraId="6B2543D4" w14:textId="77777777" w:rsidR="00DE7CA5" w:rsidRPr="00445B8A" w:rsidRDefault="00DE7CA5" w:rsidP="00DE7CA5">
      <w:pPr>
        <w:pStyle w:val="Heading1"/>
      </w:pPr>
      <w:r w:rsidRPr="00445B8A">
        <w:t>Hesabatın digər yolları</w:t>
      </w:r>
    </w:p>
    <w:p w14:paraId="0FA8122E" w14:textId="77777777" w:rsidR="00DE7CA5" w:rsidRDefault="00DE7CA5" w:rsidP="00DE7CA5">
      <w:r>
        <w:t xml:space="preserve">Siz həmçinin lazım olduqda bir sıra digər vasitələrlə öz narahatlıqlarınızı bildirə bilərsiniz. </w:t>
      </w:r>
    </w:p>
    <w:p w14:paraId="3DCE336C" w14:textId="77777777" w:rsidR="00DE7CA5" w:rsidRDefault="00DE7CA5" w:rsidP="00DE7CA5">
      <w:pPr>
        <w:pStyle w:val="ListBullet"/>
      </w:pPr>
      <w:r>
        <w:t xml:space="preserve">eSafety ciddi sui-istifadə edən onlayn məzmunu silməyə kömək edir. </w:t>
      </w:r>
      <w:r w:rsidRPr="00445B8A">
        <w:rPr>
          <w:b/>
        </w:rPr>
        <w:t>Ciddi onlayn sui-istifadə barədə</w:t>
      </w:r>
      <w:r>
        <w:t xml:space="preserve"> </w:t>
      </w:r>
      <w:hyperlink r:id="rId13" w:history="1">
        <w:r w:rsidRPr="005F56B0">
          <w:rPr>
            <w:rStyle w:val="Hyperlink"/>
            <w:rFonts w:cstheme="minorHAnsi"/>
          </w:rPr>
          <w:t>esafety.gov.au/report</w:t>
        </w:r>
      </w:hyperlink>
      <w:r>
        <w:t xml:space="preserve"> ünvanında eTəhlükəsizlik Müvəkkilinə (eSafety Commissioner) məlumat verə bilərsiniz </w:t>
      </w:r>
      <w:r>
        <w:rPr>
          <w:rStyle w:val="Hyperlink"/>
          <w:rFonts w:cstheme="minorHAnsi"/>
        </w:rPr>
        <w:t>.</w:t>
      </w:r>
    </w:p>
    <w:p w14:paraId="2A977F5E" w14:textId="77777777" w:rsidR="00DE7CA5" w:rsidRPr="00D21BCE" w:rsidRDefault="00DE7CA5" w:rsidP="00DE7CA5">
      <w:pPr>
        <w:pStyle w:val="ListBullet"/>
        <w:rPr>
          <w:b/>
        </w:rPr>
      </w:pPr>
      <w:r w:rsidRPr="00445B8A">
        <w:t xml:space="preserve">Əgər özünüzü </w:t>
      </w:r>
      <w:r w:rsidRPr="00D21BCE">
        <w:rPr>
          <w:b/>
        </w:rPr>
        <w:t>təhlükə altında və ya hər hansı şəkildə təhlükədə</w:t>
      </w:r>
      <w:r w:rsidRPr="00445B8A">
        <w:t xml:space="preserve"> hiss edirsinizsə </w:t>
      </w:r>
      <w:r w:rsidRPr="00D21BCE">
        <w:rPr>
          <w:b/>
        </w:rPr>
        <w:t>,</w:t>
      </w:r>
      <w:r w:rsidRPr="00445B8A">
        <w:t xml:space="preserve"> aşağıdakılarla əlaqə saxlaya bilərsiniz </w:t>
      </w:r>
      <w:r w:rsidRPr="00D21BCE">
        <w:rPr>
          <w:b/>
        </w:rPr>
        <w:t>:</w:t>
      </w:r>
    </w:p>
    <w:p w14:paraId="10FDF76B" w14:textId="77777777" w:rsidR="00DE7CA5" w:rsidRPr="00DE7CA5" w:rsidRDefault="00DE7CA5" w:rsidP="00DE7CA5">
      <w:pPr>
        <w:pStyle w:val="ListBullet2"/>
        <w:rPr>
          <w:b/>
        </w:rPr>
      </w:pPr>
      <w:r w:rsidRPr="00DE7CA5">
        <w:rPr>
          <w:b/>
        </w:rPr>
        <w:t>Polis - dərhal təhdidlər üçün 000-da</w:t>
      </w:r>
    </w:p>
    <w:p w14:paraId="7A09752C" w14:textId="77777777" w:rsidR="00DE7CA5" w:rsidRPr="00DE7CA5" w:rsidRDefault="00DE7CA5" w:rsidP="00DE7CA5">
      <w:pPr>
        <w:pStyle w:val="ListBullet2"/>
        <w:rPr>
          <w:b/>
        </w:rPr>
      </w:pPr>
      <w:r w:rsidRPr="00DE7CA5">
        <w:rPr>
          <w:b/>
        </w:rPr>
        <w:t>Polis - həyati təhlükəsi olmayan hadisələrdə polisin iştirakı üçün 13 14 44-də.</w:t>
      </w:r>
    </w:p>
    <w:p w14:paraId="57E106C1" w14:textId="77777777" w:rsidR="00DE7CA5" w:rsidRDefault="00DE7CA5" w:rsidP="00DE7CA5">
      <w:pPr>
        <w:pStyle w:val="ListBullet"/>
      </w:pPr>
      <w:r>
        <w:t xml:space="preserve">Siz </w:t>
      </w:r>
      <w:hyperlink r:id="rId14" w:history="1">
        <w:r w:rsidRPr="00997068">
          <w:rPr>
            <w:rStyle w:val="Hyperlink"/>
            <w:rFonts w:cstheme="minorHAnsi"/>
          </w:rPr>
          <w:t>forms.afp.gov.au/online_forms/report_a_crime</w:t>
        </w:r>
      </w:hyperlink>
      <w:r>
        <w:t xml:space="preserve"> ünvanında onlayn Birlik Cinayəti Hesabat forması (online Report a Commonwealth Crime form) vasitəsilə Birlik cinayəti (Commonwealth Crime) haqqında AFP-yə məlumat verə bilərsiniz. Birlik Cinayətlərinin nədən ibarət olması haqqında ətraflı məlumat üçün </w:t>
      </w:r>
      <w:hyperlink r:id="rId15" w:anchor="What-is-a-Commonwealth-crime" w:history="1">
        <w:r w:rsidRPr="0045239B">
          <w:rPr>
            <w:rStyle w:val="Hyperlink"/>
            <w:rFonts w:cstheme="minorHAnsi"/>
          </w:rPr>
          <w:t>afp.gov.au/contact-us/report-commonwealth-crime#What-is-a-Commonwealth-crime</w:t>
        </w:r>
      </w:hyperlink>
      <w:r>
        <w:t xml:space="preserve"> ünvanına baxın. </w:t>
      </w:r>
    </w:p>
    <w:p w14:paraId="6ECCF7FF" w14:textId="77777777" w:rsidR="00DE7CA5" w:rsidRPr="00261C01" w:rsidRDefault="00DE7CA5" w:rsidP="00DE7CA5">
      <w:pPr>
        <w:pStyle w:val="ListBullet"/>
      </w:pPr>
      <w:r w:rsidRPr="00261C01">
        <w:t>İcmanın istənilən üzvü AFP-nin üzvü ilə (o cümlədən AFP-nin İcma ilə Əlaqələr Qrupu da daxil olmaqla) birbaşa danışaraq şübhəli casusluq və ya xarici müdaxilə fəaliyyətləri barədə məlumat verə bilər.</w:t>
      </w:r>
    </w:p>
    <w:p w14:paraId="4852E254" w14:textId="77777777" w:rsidR="00DE7CA5" w:rsidRPr="00D21BCE" w:rsidRDefault="00DE7CA5" w:rsidP="00DE7CA5">
      <w:pPr>
        <w:pStyle w:val="Heading1"/>
        <w:spacing w:before="240" w:after="240" w:line="240" w:lineRule="auto"/>
        <w:rPr>
          <w:rFonts w:cstheme="minorHAnsi"/>
        </w:rPr>
      </w:pPr>
      <w:r w:rsidRPr="00D21BCE">
        <w:rPr>
          <w:rFonts w:cstheme="minorHAnsi"/>
        </w:rPr>
        <w:t>Cəmiyyətə xarici müdaxilə barədə məlumat verməklə nə gözləyə bilərəm?</w:t>
      </w:r>
    </w:p>
    <w:p w14:paraId="2EC1918D" w14:textId="77777777" w:rsidR="00DE7CA5" w:rsidRDefault="00DE7CA5" w:rsidP="00DE7CA5">
      <w:pPr>
        <w:spacing w:before="240" w:after="240" w:line="240" w:lineRule="auto"/>
        <w:rPr>
          <w:rFonts w:cstheme="minorHAnsi"/>
        </w:rPr>
      </w:pPr>
      <w:r w:rsidRPr="00D21BCE">
        <w:rPr>
          <w:rFonts w:cstheme="minorHAnsi"/>
        </w:rPr>
        <w:t xml:space="preserve">AFP cəmiyyətə xarici müdaxilə ilə bağlı hər xəbəri araşdıra bilməz. NSH-ə edilən hər bir çağırış və ya cinayət xəbəri hər hansı bir cinayətin müəyyən edilib-edilmədiyini müəyyən etmək üçün ayrı-ayrılıqda qiymətləndirilir. Hesabatın hazırlanmasının nəticələrinə aşağıdakılar daxildir: </w:t>
      </w:r>
    </w:p>
    <w:p w14:paraId="52F98A50" w14:textId="77777777" w:rsidR="00DE7CA5" w:rsidRPr="00D21BCE" w:rsidRDefault="00DE7CA5" w:rsidP="00DE7CA5">
      <w:pPr>
        <w:pStyle w:val="ListBullet"/>
      </w:pPr>
      <w:r w:rsidRPr="00D21BCE">
        <w:t>heç bir cavab olmaya bilər, çünki məsələ polisin hərəkətə keçməsi üçün qanunvericilik həddinə uyğun gəlmir</w:t>
      </w:r>
    </w:p>
    <w:p w14:paraId="4A3C12D4" w14:textId="77777777" w:rsidR="00DE7CA5" w:rsidRPr="00D21BCE" w:rsidRDefault="00DE7CA5" w:rsidP="00DE7CA5">
      <w:pPr>
        <w:pStyle w:val="ListBullet"/>
      </w:pPr>
      <w:r>
        <w:t>AFP araşdıra bilər</w:t>
      </w:r>
    </w:p>
    <w:p w14:paraId="7DAB1AD7" w14:textId="77777777" w:rsidR="00DE7CA5" w:rsidRPr="00D21BCE" w:rsidRDefault="00DE7CA5" w:rsidP="00DE7CA5">
      <w:pPr>
        <w:pStyle w:val="ListBullet"/>
      </w:pPr>
      <w:r w:rsidRPr="00D21BCE">
        <w:t xml:space="preserve">məsələ ilə başqa polis xidməti və ya dövlət orqanı məşğul ola bilər. </w:t>
      </w:r>
    </w:p>
    <w:p w14:paraId="2831A36B" w14:textId="77777777" w:rsidR="00DE7CA5" w:rsidRPr="00873CD1" w:rsidRDefault="00DE7CA5" w:rsidP="00DE7CA5">
      <w:pPr>
        <w:spacing w:before="240" w:after="240" w:line="240" w:lineRule="auto"/>
        <w:rPr>
          <w:rFonts w:cstheme="minorHAnsi"/>
        </w:rPr>
      </w:pPr>
      <w:r>
        <w:rPr>
          <w:rFonts w:cstheme="minorHAnsi"/>
        </w:rPr>
        <w:t xml:space="preserve">Avstraliyadan kənarda baş verən cinayətlər üçün yurisdiksiya məhdudiyyətləri tətbiq olunur. </w:t>
      </w:r>
    </w:p>
    <w:p w14:paraId="1356F659" w14:textId="77777777" w:rsidR="00DE7CA5" w:rsidRPr="00D21BCE" w:rsidRDefault="00DE7CA5" w:rsidP="00DE7CA5">
      <w:pPr>
        <w:pStyle w:val="Heading1"/>
        <w:spacing w:before="240" w:after="240"/>
        <w:rPr>
          <w:rFonts w:cstheme="minorHAnsi"/>
        </w:rPr>
      </w:pPr>
      <w:r w:rsidRPr="00D21BCE">
        <w:rPr>
          <w:rFonts w:cstheme="minorHAnsi"/>
        </w:rPr>
        <w:t xml:space="preserve">Təhdidlərin növləri </w:t>
      </w:r>
    </w:p>
    <w:p w14:paraId="0A3569D6" w14:textId="77777777" w:rsidR="00DE7CA5" w:rsidRPr="00D21BCE" w:rsidRDefault="00DE7CA5" w:rsidP="00DE7CA5">
      <w:pPr>
        <w:pStyle w:val="Heading2"/>
        <w:spacing w:before="240" w:after="240"/>
        <w:rPr>
          <w:rFonts w:eastAsia="Times New Roman" w:cstheme="minorHAnsi"/>
          <w:lang w:eastAsia="en-AU"/>
        </w:rPr>
      </w:pPr>
      <w:r w:rsidRPr="00D21BCE">
        <w:rPr>
          <w:rFonts w:eastAsia="Times New Roman" w:cstheme="minorHAnsi"/>
          <w:lang w:eastAsia="en-AU"/>
        </w:rPr>
        <w:t xml:space="preserve">Əgər şəxsən hədələnirsinizsə </w:t>
      </w:r>
    </w:p>
    <w:p w14:paraId="3E29DE61" w14:textId="77777777" w:rsidR="00DE7CA5" w:rsidRPr="00CD61DD" w:rsidRDefault="00DE7CA5" w:rsidP="00DE7CA5">
      <w:pPr>
        <w:pStyle w:val="ListBullet"/>
        <w:rPr>
          <w:lang w:eastAsia="en-AU"/>
        </w:rPr>
      </w:pPr>
      <w:r w:rsidRPr="00CD61DD">
        <w:rPr>
          <w:lang w:eastAsia="en-AU"/>
        </w:rPr>
        <w:t xml:space="preserve">Təhdidi tam olaraq bildirildiyi kimi </w:t>
      </w:r>
      <w:r w:rsidRPr="00CD61DD">
        <w:t>yazın</w:t>
      </w:r>
      <w:r w:rsidRPr="00CD61DD">
        <w:rPr>
          <w:lang w:eastAsia="en-AU"/>
        </w:rPr>
        <w:t xml:space="preserve"> və ya qeyd edin.</w:t>
      </w:r>
    </w:p>
    <w:p w14:paraId="67450C72" w14:textId="77777777" w:rsidR="00DE7CA5" w:rsidRPr="00CD61DD" w:rsidRDefault="00DE7CA5" w:rsidP="00DE7CA5">
      <w:pPr>
        <w:pStyle w:val="ListBullet"/>
        <w:rPr>
          <w:lang w:eastAsia="en-AU"/>
        </w:rPr>
      </w:pPr>
      <w:r w:rsidRPr="00CD61DD">
        <w:rPr>
          <w:lang w:eastAsia="en-AU"/>
        </w:rPr>
        <w:t xml:space="preserve">Təhdidi edən şəxs haqqında çoxlu təsviri təfərrüatları </w:t>
      </w:r>
      <w:r w:rsidRPr="00CD61DD">
        <w:t>qeyd edin</w:t>
      </w:r>
      <w:r w:rsidRPr="00CD61DD">
        <w:rPr>
          <w:lang w:eastAsia="en-AU"/>
        </w:rPr>
        <w:t xml:space="preserve"> (adı, cinsi, boyu, çəkisi, saç və göz rəngi, səs, geyim və ya hər hansı digər fərqləndirici xüsusiyyətlər).</w:t>
      </w:r>
    </w:p>
    <w:p w14:paraId="5EFB701E" w14:textId="77777777" w:rsidR="00DE7CA5" w:rsidRPr="0032005B" w:rsidRDefault="00DE7CA5" w:rsidP="00DE7CA5">
      <w:pPr>
        <w:pStyle w:val="ListBullet"/>
        <w:rPr>
          <w:lang w:eastAsia="en-AU"/>
        </w:rPr>
      </w:pPr>
      <w:r>
        <w:rPr>
          <w:lang w:eastAsia="en-AU"/>
        </w:rPr>
        <w:lastRenderedPageBreak/>
        <w:t xml:space="preserve">Təhdidi polisə </w:t>
      </w:r>
      <w:r w:rsidRPr="00CD61DD">
        <w:t>bildirin</w:t>
      </w:r>
      <w:r>
        <w:rPr>
          <w:lang w:eastAsia="en-AU"/>
        </w:rPr>
        <w:t xml:space="preserve">. </w:t>
      </w:r>
    </w:p>
    <w:p w14:paraId="6F090EA7" w14:textId="77777777" w:rsidR="00DE7CA5" w:rsidRPr="00D21BCE" w:rsidRDefault="00DE7CA5" w:rsidP="00DE7CA5">
      <w:pPr>
        <w:pStyle w:val="Heading2"/>
        <w:rPr>
          <w:lang w:eastAsia="en-AU"/>
        </w:rPr>
      </w:pPr>
      <w:r w:rsidRPr="00D21BCE">
        <w:rPr>
          <w:lang w:eastAsia="en-AU"/>
        </w:rPr>
        <w:t xml:space="preserve">Əgər </w:t>
      </w:r>
      <w:r w:rsidRPr="00DE7CA5">
        <w:t>telefonla</w:t>
      </w:r>
      <w:r w:rsidRPr="00D21BCE">
        <w:rPr>
          <w:lang w:eastAsia="en-AU"/>
        </w:rPr>
        <w:t xml:space="preserve"> hədələnirsinizsə </w:t>
      </w:r>
    </w:p>
    <w:p w14:paraId="4984221D" w14:textId="77777777" w:rsidR="00DE7CA5" w:rsidRPr="00CD61DD" w:rsidRDefault="00DE7CA5" w:rsidP="00DE7CA5">
      <w:pPr>
        <w:pStyle w:val="ListBullet"/>
      </w:pPr>
      <w:r w:rsidRPr="00CD61DD">
        <w:t>Mümkünsə, yaxınlıqdakı insanlara qulaq asmaq və polisə məlumat vermək üçün işarə verin.</w:t>
      </w:r>
    </w:p>
    <w:p w14:paraId="6D1D9FB4" w14:textId="77777777" w:rsidR="00DE7CA5" w:rsidRPr="00610239" w:rsidRDefault="00DE7CA5" w:rsidP="00DE7CA5">
      <w:pPr>
        <w:pStyle w:val="ListBullet"/>
      </w:pPr>
      <w:r w:rsidRPr="00CD61DD">
        <w:t xml:space="preserve">Mümkünsə zəngi qeyd edin. </w:t>
      </w:r>
    </w:p>
    <w:p w14:paraId="2484AF2F" w14:textId="77777777" w:rsidR="00DE7CA5" w:rsidRPr="00CD61DD" w:rsidRDefault="00DE7CA5" w:rsidP="00DE7CA5">
      <w:pPr>
        <w:pStyle w:val="ListBullet"/>
      </w:pPr>
      <w:r w:rsidRPr="00CD61DD">
        <w:t>Təhdidin dəqiq ifadəsini yazın.</w:t>
      </w:r>
    </w:p>
    <w:p w14:paraId="11415C0B" w14:textId="77777777" w:rsidR="00DE7CA5" w:rsidRPr="00610239" w:rsidRDefault="00DE7CA5" w:rsidP="00DE7CA5">
      <w:pPr>
        <w:pStyle w:val="ListBullet"/>
      </w:pPr>
      <w:r w:rsidRPr="00CD61DD">
        <w:t>Telefonun elektron ekranından istənilən məlumatı kopyalayın.</w:t>
      </w:r>
    </w:p>
    <w:p w14:paraId="1374CDCB" w14:textId="77777777" w:rsidR="00DE7CA5" w:rsidRDefault="00DE7CA5" w:rsidP="00DE7CA5">
      <w:pPr>
        <w:pStyle w:val="ListBullet"/>
      </w:pPr>
      <w:r w:rsidRPr="00CD61DD">
        <w:t>Təfərrüatları polislə müzakirə etmək üçün hazır olun.</w:t>
      </w:r>
    </w:p>
    <w:p w14:paraId="03079647" w14:textId="77777777" w:rsidR="00DE7CA5" w:rsidRPr="00D21BCE" w:rsidRDefault="00DE7CA5" w:rsidP="00DE7CA5">
      <w:pPr>
        <w:pStyle w:val="Heading2"/>
        <w:rPr>
          <w:lang w:eastAsia="en-AU"/>
        </w:rPr>
      </w:pPr>
      <w:r w:rsidRPr="00DE7CA5">
        <w:t>Mətn</w:t>
      </w:r>
      <w:r w:rsidRPr="00D21BCE">
        <w:rPr>
          <w:lang w:eastAsia="en-AU"/>
        </w:rPr>
        <w:t xml:space="preserve"> mesajı, birbaşa/şəxsi mesaj, sosial media və ya e-poçt da daxil olmaqla elektron vasitələrlə hədələnirsinizsə</w:t>
      </w:r>
    </w:p>
    <w:p w14:paraId="551CD7BE" w14:textId="77777777" w:rsidR="00DE7CA5" w:rsidRDefault="00DE7CA5" w:rsidP="00DE7CA5">
      <w:pPr>
        <w:pStyle w:val="ListBullet"/>
      </w:pPr>
      <w:r w:rsidRPr="00CD61DD">
        <w:t xml:space="preserve">Mesajları silməyin. </w:t>
      </w:r>
    </w:p>
    <w:p w14:paraId="4E8D6579" w14:textId="77777777" w:rsidR="00DE7CA5" w:rsidRPr="00610239" w:rsidRDefault="00DE7CA5" w:rsidP="00DE7CA5">
      <w:pPr>
        <w:pStyle w:val="ListBullet"/>
      </w:pPr>
      <w:r w:rsidRPr="00CD61DD">
        <w:t xml:space="preserve">Mesaj məlumatını (mövzu sətri, tarix, vaxt, göndərən və s.) çap edin, fotoşəkili, ekran görüntüsünü və ya kopyalayın. Müvəqqəti olmaq üçün hazırlanmış mesajları yadda saxladığınızdan və ya skrinşotunu çəkdiyinizdən əmin olun. </w:t>
      </w:r>
    </w:p>
    <w:p w14:paraId="217AAE72" w14:textId="77777777" w:rsidR="00DE7CA5" w:rsidRPr="00CD61DD" w:rsidRDefault="00DE7CA5" w:rsidP="00DE7CA5">
      <w:pPr>
        <w:pStyle w:val="ListBullet"/>
      </w:pPr>
      <w:r w:rsidRPr="00CD61DD">
        <w:t>Təhlükə almağınız barədə dərhal polisə xəbər verin.</w:t>
      </w:r>
    </w:p>
    <w:p w14:paraId="7A831CEF" w14:textId="77777777" w:rsidR="00DE7CA5" w:rsidRPr="005910F6" w:rsidRDefault="00DE7CA5" w:rsidP="00DE7CA5">
      <w:pPr>
        <w:pStyle w:val="ListBullet"/>
      </w:pPr>
      <w:r w:rsidRPr="00CD61DD">
        <w:t xml:space="preserve">Bütün elektron sübutları qoruyun. </w:t>
      </w:r>
    </w:p>
    <w:p w14:paraId="12F9EEA5" w14:textId="77777777" w:rsidR="00A24784" w:rsidRDefault="00DE7CA5" w:rsidP="00DE7CA5">
      <w:pPr>
        <w:pStyle w:val="CalltoActionHeading"/>
        <w:framePr w:wrap="notBeside" w:vAnchor="page" w:hAnchor="page" w:x="1115" w:y="9782"/>
      </w:pPr>
      <w:r w:rsidRPr="00DE7CA5">
        <w:t>Özünüzü bu cür təhlükələrdən qorumaq üçün bu tövsiyələrə əməl edin:</w:t>
      </w:r>
    </w:p>
    <w:p w14:paraId="1944E01F" w14:textId="77777777" w:rsidR="00DE7CA5" w:rsidRDefault="00A24784" w:rsidP="00DE7CA5">
      <w:pPr>
        <w:pStyle w:val="CalltoAction"/>
        <w:framePr w:wrap="notBeside" w:vAnchor="page" w:hAnchor="page" w:x="1115" w:y="9782"/>
      </w:pPr>
      <w:r>
        <w:t>•</w:t>
      </w:r>
      <w:r>
        <w:tab/>
      </w:r>
      <w:r w:rsidR="00DE7CA5">
        <w:t>Naməlum göndəricilərdən gələn elektron mesajları və ya qoşmaları açmayın</w:t>
      </w:r>
    </w:p>
    <w:p w14:paraId="0256D73D" w14:textId="77777777" w:rsidR="00DE7CA5" w:rsidRDefault="00DE7CA5" w:rsidP="00DE7CA5">
      <w:pPr>
        <w:pStyle w:val="CalltoAction"/>
        <w:framePr w:wrap="notBeside" w:vAnchor="page" w:hAnchor="page" w:x="1115" w:y="9782"/>
      </w:pPr>
      <w:r>
        <w:t>•</w:t>
      </w:r>
      <w:r>
        <w:tab/>
        <w:t>Sosial mediada naməlum və ya istənməyən şəxslərlə ünsiyyət qurmayın</w:t>
      </w:r>
    </w:p>
    <w:p w14:paraId="588BE7B2" w14:textId="77777777" w:rsidR="00DE7CA5" w:rsidRDefault="00DE7CA5" w:rsidP="00DE7CA5">
      <w:pPr>
        <w:pStyle w:val="CalltoAction"/>
        <w:framePr w:wrap="notBeside" w:vAnchor="page" w:hAnchor="page" w:x="1115" w:y="9782"/>
        <w:ind w:left="720" w:hanging="493"/>
      </w:pPr>
      <w:r>
        <w:t>•</w:t>
      </w:r>
      <w:r>
        <w:tab/>
        <w:t>Cihazlarınızda/hesablarınızda təhlükəsizlik parametrlərinizin ən yüksək qoruma səviyyəsinə qoyulduğundan əmin olun</w:t>
      </w:r>
    </w:p>
    <w:p w14:paraId="0A447BC6" w14:textId="77777777" w:rsidR="00DE7CA5" w:rsidRDefault="00DE7CA5" w:rsidP="00DE7CA5">
      <w:pPr>
        <w:pStyle w:val="CalltoAction"/>
        <w:framePr w:wrap="notBeside" w:vAnchor="page" w:hAnchor="page" w:x="1115" w:y="9782"/>
      </w:pPr>
      <w:r>
        <w:t>•</w:t>
      </w:r>
      <w:r>
        <w:tab/>
        <w:t>Kiber cinayətkarlar sizin elektron cihazlarınızı ələ keçirə və şəxsi məlumatlarınızı ifşa edə bilərlər</w:t>
      </w:r>
    </w:p>
    <w:p w14:paraId="004D18D3" w14:textId="77777777" w:rsidR="00DE7CA5" w:rsidRDefault="00DE7CA5" w:rsidP="00DE7CA5">
      <w:pPr>
        <w:pStyle w:val="CalltoAction"/>
        <w:framePr w:wrap="notBeside" w:vAnchor="page" w:hAnchor="page" w:x="1115" w:y="9782"/>
        <w:ind w:left="720" w:hanging="493"/>
      </w:pPr>
      <w:r>
        <w:t>•</w:t>
      </w:r>
      <w:r>
        <w:tab/>
        <w:t>Hesablarınızı şəxsiyyət oğurluğundan qorumaq üçün dərhal maliyyə qurumlarınızla əlaqə saxlayın</w:t>
      </w:r>
    </w:p>
    <w:p w14:paraId="28BE0B7B" w14:textId="77777777" w:rsidR="00DE7CA5" w:rsidRDefault="00DE7CA5" w:rsidP="00DE7CA5">
      <w:pPr>
        <w:pStyle w:val="CalltoAction"/>
        <w:framePr w:wrap="notBeside" w:vAnchor="page" w:hAnchor="page" w:x="1115" w:y="9782"/>
        <w:ind w:left="720" w:hanging="493"/>
      </w:pPr>
      <w:r>
        <w:t>•</w:t>
      </w:r>
      <w:r>
        <w:tab/>
        <w:t>Güclü parol ifadələrindən istifadə edin və birdən çox sayt üçün eyni paroldan istifadə etməyin</w:t>
      </w:r>
    </w:p>
    <w:p w14:paraId="1DCB2356" w14:textId="77777777" w:rsidR="00DE7CA5" w:rsidRDefault="00DE7CA5" w:rsidP="00DE7CA5">
      <w:pPr>
        <w:pStyle w:val="CalltoAction"/>
        <w:framePr w:wrap="notBeside" w:vAnchor="page" w:hAnchor="page" w:x="1115" w:y="9782"/>
      </w:pPr>
      <w:r>
        <w:t>•</w:t>
      </w:r>
      <w:r>
        <w:tab/>
        <w:t>Anti-virus və anti-zərərli proqram tətbiqlərinin yeni olduğundan əmin olun</w:t>
      </w:r>
    </w:p>
    <w:p w14:paraId="15175E35" w14:textId="77777777" w:rsidR="00DE7CA5" w:rsidRDefault="00DE7CA5" w:rsidP="00DE7CA5">
      <w:pPr>
        <w:pStyle w:val="CalltoAction"/>
        <w:framePr w:wrap="notBeside" w:vAnchor="page" w:hAnchor="page" w:x="1115" w:y="9782"/>
      </w:pPr>
      <w:r>
        <w:t>•</w:t>
      </w:r>
      <w:r>
        <w:tab/>
        <w:t>Lazım olduqda sistem və proqram yeniləmələrini tətbiq edin</w:t>
      </w:r>
    </w:p>
    <w:p w14:paraId="3C85C110" w14:textId="77777777" w:rsidR="00DE7CA5" w:rsidRDefault="00DE7CA5" w:rsidP="00DE7CA5">
      <w:pPr>
        <w:pStyle w:val="CalltoAction"/>
        <w:framePr w:wrap="notBeside" w:vAnchor="page" w:hAnchor="page" w:x="1115" w:y="9782"/>
      </w:pPr>
      <w:r>
        <w:t>•</w:t>
      </w:r>
      <w:r>
        <w:tab/>
        <w:t>İki faktorlu autentifikasiya tətbiq edin</w:t>
      </w:r>
    </w:p>
    <w:p w14:paraId="724C6A49" w14:textId="77777777" w:rsidR="00DE7CA5" w:rsidRDefault="00DE7CA5" w:rsidP="00DE7CA5">
      <w:pPr>
        <w:pStyle w:val="CalltoAction"/>
        <w:framePr w:wrap="notBeside" w:vAnchor="page" w:hAnchor="page" w:x="1115" w:y="9782"/>
      </w:pPr>
      <w:r>
        <w:t>•</w:t>
      </w:r>
      <w:r>
        <w:tab/>
        <w:t>Məlumatların müntəzəm olaraq ehtiyat nüsxəsini çıxarın</w:t>
      </w:r>
    </w:p>
    <w:p w14:paraId="78966CCD" w14:textId="77777777" w:rsidR="00DE7CA5" w:rsidRDefault="00DE7CA5" w:rsidP="00DE7CA5">
      <w:pPr>
        <w:pStyle w:val="CalltoAction"/>
        <w:framePr w:wrap="notBeside" w:vAnchor="page" w:hAnchor="page" w:x="1115" w:y="9782"/>
      </w:pPr>
      <w:r>
        <w:t>•</w:t>
      </w:r>
      <w:r>
        <w:tab/>
        <w:t>Mobil cihazınızı qoruyun</w:t>
      </w:r>
    </w:p>
    <w:p w14:paraId="3DD8DF19" w14:textId="77777777" w:rsidR="00DE7CA5" w:rsidRDefault="00DE7CA5" w:rsidP="00DE7CA5">
      <w:pPr>
        <w:pStyle w:val="CalltoAction"/>
        <w:framePr w:wrap="notBeside" w:vAnchor="page" w:hAnchor="page" w:x="1115" w:y="9782"/>
      </w:pPr>
      <w:r>
        <w:t>•</w:t>
      </w:r>
      <w:r>
        <w:tab/>
        <w:t>Cyber Secure düşüncənizi və məlumatlılığınızı inkişaf etdirin</w:t>
      </w:r>
    </w:p>
    <w:p w14:paraId="43F387D7" w14:textId="77777777" w:rsidR="00330380" w:rsidRPr="00815ABE" w:rsidRDefault="00DE7CA5" w:rsidP="00DE7CA5">
      <w:pPr>
        <w:pStyle w:val="CalltoAction"/>
        <w:framePr w:wrap="notBeside" w:vAnchor="page" w:hAnchor="page" w:x="1115" w:y="9782"/>
      </w:pPr>
      <w:r>
        <w:t>•</w:t>
      </w:r>
      <w:r>
        <w:tab/>
        <w:t xml:space="preserve">Əlavə məlumat üçün cyber.gov.au </w:t>
      </w:r>
      <w:r w:rsidR="003A1C38" w:rsidRPr="003A1C38">
        <w:t>saytına daxil olun.</w:t>
      </w:r>
    </w:p>
    <w:sectPr w:rsidR="00330380" w:rsidRPr="00815ABE" w:rsidSect="00457F01">
      <w:type w:val="continuous"/>
      <w:pgSz w:w="11906" w:h="16838" w:code="9"/>
      <w:pgMar w:top="2041" w:right="1134" w:bottom="1134" w:left="1134" w:header="550"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419BBE" w14:textId="77777777" w:rsidR="00742E59" w:rsidRDefault="00742E59" w:rsidP="000C24D7">
      <w:pPr>
        <w:spacing w:after="0" w:line="240" w:lineRule="auto"/>
      </w:pPr>
      <w:r>
        <w:separator/>
      </w:r>
    </w:p>
  </w:endnote>
  <w:endnote w:type="continuationSeparator" w:id="0">
    <w:p w14:paraId="21C72787" w14:textId="77777777" w:rsidR="00742E59" w:rsidRDefault="00742E59" w:rsidP="000C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lain Light">
    <w:altName w:val="Calibri"/>
    <w:panose1 w:val="00000000000000000000"/>
    <w:charset w:val="00"/>
    <w:family w:val="swiss"/>
    <w:notTrueType/>
    <w:pitch w:val="variable"/>
    <w:sig w:usb0="8000002F" w:usb1="00002000" w:usb2="00000000" w:usb3="00000000" w:csb0="00000093" w:csb1="00000000"/>
  </w:font>
  <w:font w:name="font1198">
    <w:altName w:val="Calibri"/>
    <w:panose1 w:val="00000000000000000000"/>
    <w:charset w:val="00"/>
    <w:family w:val="auto"/>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BEE99" w14:textId="77777777" w:rsidR="000C24D7" w:rsidRDefault="000C24D7">
    <w:pPr>
      <w:pStyle w:val="Footer"/>
    </w:pPr>
    <w:r>
      <w:rPr>
        <w:noProof/>
        <w:lang w:eastAsia="en-AU"/>
      </w:rPr>
      <w:drawing>
        <wp:anchor distT="0" distB="0" distL="114300" distR="114300" simplePos="0" relativeHeight="251660288" behindDoc="1" locked="1" layoutInCell="1" allowOverlap="1" wp14:anchorId="6D1771F7" wp14:editId="377BFBBB">
          <wp:simplePos x="0" y="0"/>
          <wp:positionH relativeFrom="page">
            <wp:posOffset>5767705</wp:posOffset>
          </wp:positionH>
          <wp:positionV relativeFrom="page">
            <wp:posOffset>10264775</wp:posOffset>
          </wp:positionV>
          <wp:extent cx="820800" cy="140400"/>
          <wp:effectExtent l="0" t="0" r="0" b="0"/>
          <wp:wrapNone/>
          <wp:docPr id="1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0800" cy="14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9264" behindDoc="1" locked="1" layoutInCell="1" allowOverlap="1" wp14:anchorId="2A74F719" wp14:editId="64383C77">
              <wp:simplePos x="14514" y="10479314"/>
              <wp:positionH relativeFrom="page">
                <wp:align>center</wp:align>
              </wp:positionH>
              <wp:positionV relativeFrom="page">
                <wp:align>bottom</wp:align>
              </wp:positionV>
              <wp:extent cx="7560000" cy="180000"/>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6B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2B1F0" id="Rectangle 1" o:spid="_x0000_s1026" style="position:absolute;margin-left:0;margin-top:0;width:595.3pt;height:14.1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" fillcolor="#46be3c" stroked="f" strokeweight="1pt">
              <w10:wrap anchorx="page" anchory="page"/>
              <w10:anchorlock/>
            </v:rect>
          </w:pict>
        </mc:Fallback>
      </mc:AlternateContent>
    </w:r>
  </w:p>
  <w:p w14:paraId="3FCD2DC3" w14:textId="6129B27C" w:rsidR="000C24D7" w:rsidRDefault="000C24D7" w:rsidP="000C24D7">
    <w:pPr>
      <w:pStyle w:val="Footer"/>
      <w:tabs>
        <w:tab w:val="clear" w:pos="9026"/>
        <w:tab w:val="right" w:pos="7797"/>
      </w:tabs>
    </w:pPr>
    <w:r w:rsidRPr="000C24D7">
      <w:rPr>
        <w:rStyle w:val="Strong"/>
      </w:rPr>
      <w:t>FACTSHEET</w:t>
    </w:r>
    <w:r w:rsidRPr="000C24D7">
      <w:t xml:space="preserve">  </w:t>
    </w:r>
    <w:r w:rsidRPr="000C24D7">
      <w:rPr>
        <w:rStyle w:val="BoldGreen"/>
      </w:rPr>
      <w:t>/</w:t>
    </w:r>
    <w:r w:rsidRPr="000C24D7">
      <w:t xml:space="preserve">  </w:t>
    </w:r>
    <w:fldSimple w:instr=" STYLEREF  Title  \* MERGEFORMAT ">
      <w:r w:rsidR="00875127">
        <w:rPr>
          <w:noProof/>
        </w:rPr>
        <w:t>İcmaya xarici müdaxilə</w:t>
      </w:r>
    </w:fldSimple>
    <w:r>
      <w:tab/>
    </w:r>
    <w:r>
      <w:tab/>
    </w:r>
    <w:r w:rsidRPr="000C24D7">
      <w:rPr>
        <w:rStyle w:val="Strong"/>
      </w:rPr>
      <w:t>afp.gov.au</w:t>
    </w:r>
    <w:r>
      <w:ptab w:relativeTo="margin" w:alignment="right" w:leader="none"/>
    </w:r>
    <w:r w:rsidRPr="000C24D7">
      <w:fldChar w:fldCharType="begin"/>
    </w:r>
    <w:r w:rsidRPr="000C24D7">
      <w:instrText xml:space="preserve"> PAGE   \* MERGEFORMAT </w:instrText>
    </w:r>
    <w:r w:rsidRPr="000C24D7">
      <w:fldChar w:fldCharType="separate"/>
    </w:r>
    <w:r w:rsidR="003A1C38">
      <w:rPr>
        <w:noProof/>
      </w:rPr>
      <w:t>3</w:t>
    </w:r>
    <w:r w:rsidRPr="000C24D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A13BF" w14:textId="77777777" w:rsidR="000C24D7" w:rsidRDefault="000C24D7" w:rsidP="000C24D7">
    <w:pPr>
      <w:pStyle w:val="Footer"/>
    </w:pPr>
    <w:r>
      <w:rPr>
        <w:noProof/>
        <w:lang w:eastAsia="en-AU"/>
      </w:rPr>
      <w:drawing>
        <wp:anchor distT="0" distB="0" distL="114300" distR="114300" simplePos="0" relativeHeight="251663360" behindDoc="1" locked="1" layoutInCell="1" allowOverlap="1" wp14:anchorId="74833445" wp14:editId="6879313F">
          <wp:simplePos x="0" y="0"/>
          <wp:positionH relativeFrom="page">
            <wp:posOffset>5767705</wp:posOffset>
          </wp:positionH>
          <wp:positionV relativeFrom="page">
            <wp:posOffset>10264775</wp:posOffset>
          </wp:positionV>
          <wp:extent cx="820800" cy="140400"/>
          <wp:effectExtent l="0" t="0" r="0" b="0"/>
          <wp:wrapNone/>
          <wp:docPr id="15"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0800" cy="14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2336" behindDoc="1" locked="1" layoutInCell="1" allowOverlap="1" wp14:anchorId="0C63212C" wp14:editId="51FC3BF2">
              <wp:simplePos x="14514" y="10479314"/>
              <wp:positionH relativeFrom="page">
                <wp:align>center</wp:align>
              </wp:positionH>
              <wp:positionV relativeFrom="page">
                <wp:align>bottom</wp:align>
              </wp:positionV>
              <wp:extent cx="7560000" cy="18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6B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B9FB3" id="Rectangle 3" o:spid="_x0000_s1026" style="position:absolute;margin-left:0;margin-top:0;width:595.3pt;height:14.15pt;z-index:-25165414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" fillcolor="#46be3c" stroked="f" strokeweight="1pt">
              <w10:wrap anchorx="page" anchory="page"/>
              <w10:anchorlock/>
            </v:rect>
          </w:pict>
        </mc:Fallback>
      </mc:AlternateContent>
    </w:r>
  </w:p>
  <w:p w14:paraId="376482B2" w14:textId="75D1B70D" w:rsidR="000C24D7" w:rsidRPr="000C24D7" w:rsidRDefault="000C24D7" w:rsidP="000C24D7">
    <w:pPr>
      <w:pStyle w:val="Footer"/>
      <w:tabs>
        <w:tab w:val="clear" w:pos="9026"/>
        <w:tab w:val="right" w:pos="7797"/>
      </w:tabs>
    </w:pPr>
    <w:r w:rsidRPr="000C24D7">
      <w:rPr>
        <w:rStyle w:val="Strong"/>
      </w:rPr>
      <w:t>FACTSHEET</w:t>
    </w:r>
    <w:r w:rsidRPr="000C24D7">
      <w:t xml:space="preserve">  </w:t>
    </w:r>
    <w:r w:rsidRPr="000C24D7">
      <w:rPr>
        <w:rStyle w:val="BoldGreen"/>
      </w:rPr>
      <w:t>/</w:t>
    </w:r>
    <w:r w:rsidRPr="000C24D7">
      <w:t xml:space="preserve">  </w:t>
    </w:r>
    <w:fldSimple w:instr=" STYLEREF  Title  \* MERGEFORMAT ">
      <w:r w:rsidR="00875127">
        <w:rPr>
          <w:noProof/>
        </w:rPr>
        <w:t>İcmaya xarici müdaxilə</w:t>
      </w:r>
    </w:fldSimple>
    <w:r>
      <w:tab/>
    </w:r>
    <w:r>
      <w:tab/>
    </w:r>
    <w:r w:rsidRPr="000C24D7">
      <w:rPr>
        <w:rStyle w:val="Strong"/>
      </w:rPr>
      <w:t>afp.gov.au</w:t>
    </w:r>
    <w:r>
      <w:ptab w:relativeTo="margin" w:alignment="right" w:leader="none"/>
    </w:r>
    <w:r w:rsidRPr="000C24D7">
      <w:fldChar w:fldCharType="begin"/>
    </w:r>
    <w:r w:rsidRPr="000C24D7">
      <w:instrText xml:space="preserve"> PAGE   \* MERGEFORMAT </w:instrText>
    </w:r>
    <w:r w:rsidRPr="000C24D7">
      <w:fldChar w:fldCharType="separate"/>
    </w:r>
    <w:r w:rsidR="003A1C38">
      <w:rPr>
        <w:noProof/>
      </w:rPr>
      <w:t>1</w:t>
    </w:r>
    <w:r w:rsidRPr="000C24D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5FB0F2" w14:textId="77777777" w:rsidR="00742E59" w:rsidRDefault="00742E59" w:rsidP="000C24D7">
      <w:pPr>
        <w:spacing w:after="0" w:line="240" w:lineRule="auto"/>
      </w:pPr>
      <w:r>
        <w:separator/>
      </w:r>
    </w:p>
  </w:footnote>
  <w:footnote w:type="continuationSeparator" w:id="0">
    <w:p w14:paraId="3604FD74" w14:textId="77777777" w:rsidR="00742E59" w:rsidRDefault="00742E59" w:rsidP="000C2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2D46B" w14:textId="77777777" w:rsidR="000C24D7" w:rsidRDefault="00A511F2" w:rsidP="00667EA3">
    <w:pPr>
      <w:pStyle w:val="Spacer-pg2"/>
    </w:pPr>
    <w:r>
      <w:rPr>
        <w:noProof/>
        <w:lang w:eastAsia="en-AU"/>
      </w:rPr>
      <mc:AlternateContent>
        <mc:Choice Requires="wps">
          <w:drawing>
            <wp:anchor distT="0" distB="0" distL="114300" distR="114300" simplePos="0" relativeHeight="251666432" behindDoc="0" locked="1" layoutInCell="1" allowOverlap="1" wp14:anchorId="4B3E8A01" wp14:editId="394131CA">
              <wp:simplePos x="0" y="0"/>
              <wp:positionH relativeFrom="page">
                <wp:posOffset>2134870</wp:posOffset>
              </wp:positionH>
              <wp:positionV relativeFrom="page">
                <wp:posOffset>525780</wp:posOffset>
              </wp:positionV>
              <wp:extent cx="4608000" cy="457200"/>
              <wp:effectExtent l="0" t="0" r="254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608000" cy="457200"/>
                      </a:xfrm>
                      <a:prstGeom prst="rect">
                        <a:avLst/>
                      </a:prstGeom>
                      <a:noFill/>
                      <a:ln w="6350">
                        <a:noFill/>
                      </a:ln>
                    </wps:spPr>
                    <wps:txbx>
                      <w:txbxContent>
                        <w:p w14:paraId="54949E23" w14:textId="700890EC" w:rsidR="00A511F2" w:rsidRPr="00A511F2" w:rsidRDefault="00213A9D" w:rsidP="00A511F2">
                          <w:pPr>
                            <w:pStyle w:val="Header"/>
                          </w:pPr>
                          <w:fldSimple w:instr=" STYLEREF  Title  \* MERGEFORMAT ">
                            <w:r w:rsidR="00875127">
                              <w:rPr>
                                <w:noProof/>
                              </w:rPr>
                              <w:t>İcmaya xarici müdaxilə</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3E8A01" id="_x0000_t202" coordsize="21600,21600" o:spt="202" path="m,l,21600r21600,l21600,xe">
              <v:stroke joinstyle="miter"/>
              <v:path gradientshapeok="t" o:connecttype="rect"/>
            </v:shapetype>
            <v:shape id="Text Box 10" o:spid="_x0000_s1026" type="#_x0000_t202" alt="&quot;&quot;" style="position:absolute;margin-left:168.1pt;margin-top:41.4pt;width:362.85pt;height:3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" filled="f" stroked="f" strokeweight=".5pt">
              <v:textbox inset="0,0,0,0">
                <w:txbxContent>
                  <w:p w14:paraId="54949E23" w14:textId="700890EC" w:rsidR="00A511F2" w:rsidRPr="00A511F2" w:rsidRDefault="00213A9D" w:rsidP="00A511F2">
                    <w:pPr>
                      <w:pStyle w:val="Header"/>
                    </w:pPr>
                    <w:fldSimple w:instr=" STYLEREF  Title  \* MERGEFORMAT ">
                      <w:r w:rsidR="00875127">
                        <w:rPr>
                          <w:noProof/>
                        </w:rPr>
                        <w:t>İcmaya xarici müdaxilə</w:t>
                      </w:r>
                    </w:fldSimple>
                  </w:p>
                </w:txbxContent>
              </v:textbox>
              <w10:wrap anchorx="page" anchory="page"/>
              <w10:anchorlock/>
            </v:shape>
          </w:pict>
        </mc:Fallback>
      </mc:AlternateContent>
    </w:r>
    <w:r>
      <w:rPr>
        <w:noProof/>
        <w:lang w:eastAsia="en-AU"/>
      </w:rPr>
      <w:drawing>
        <wp:inline distT="0" distB="0" distL="0" distR="0" wp14:anchorId="151FF2AB" wp14:editId="05AD4D43">
          <wp:extent cx="1062000" cy="541248"/>
          <wp:effectExtent l="0" t="0" r="5080" b="0"/>
          <wp:docPr id="8"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2000" cy="541248"/>
                  </a:xfrm>
                  <a:prstGeom prst="rect">
                    <a:avLst/>
                  </a:prstGeom>
                </pic:spPr>
              </pic:pic>
            </a:graphicData>
          </a:graphic>
        </wp:inline>
      </w:drawing>
    </w:r>
    <w:r>
      <w:rPr>
        <w:noProof/>
        <w:lang w:eastAsia="en-AU"/>
      </w:rPr>
      <w:drawing>
        <wp:anchor distT="0" distB="0" distL="114300" distR="114300" simplePos="0" relativeHeight="251665408" behindDoc="1" locked="1" layoutInCell="1" allowOverlap="1" wp14:anchorId="6479AD39" wp14:editId="2AF75227">
          <wp:simplePos x="0" y="0"/>
          <wp:positionH relativeFrom="page">
            <wp:align>center</wp:align>
          </wp:positionH>
          <wp:positionV relativeFrom="page">
            <wp:align>top</wp:align>
          </wp:positionV>
          <wp:extent cx="7560000" cy="1220400"/>
          <wp:effectExtent l="0" t="0" r="3175" b="0"/>
          <wp:wrapNone/>
          <wp:docPr id="11"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60000" cy="122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A0F85" w14:textId="77777777" w:rsidR="000C24D7" w:rsidRDefault="00A511F2" w:rsidP="00C510F4">
    <w:r>
      <w:rPr>
        <w:noProof/>
        <w:lang w:eastAsia="en-AU"/>
      </w:rPr>
      <w:drawing>
        <wp:inline distT="0" distB="0" distL="0" distR="0" wp14:anchorId="5C749EE2" wp14:editId="01003566">
          <wp:extent cx="1062000" cy="541248"/>
          <wp:effectExtent l="0" t="0" r="5080" b="0"/>
          <wp:docPr id="13"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2000" cy="541248"/>
                  </a:xfrm>
                  <a:prstGeom prst="rect">
                    <a:avLst/>
                  </a:prstGeom>
                </pic:spPr>
              </pic:pic>
            </a:graphicData>
          </a:graphic>
        </wp:inline>
      </w:drawing>
    </w:r>
    <w:r>
      <w:rPr>
        <w:noProof/>
        <w:lang w:eastAsia="en-AU"/>
      </w:rPr>
      <w:drawing>
        <wp:anchor distT="0" distB="0" distL="114300" distR="114300" simplePos="0" relativeHeight="251664384" behindDoc="1" locked="1" layoutInCell="1" allowOverlap="1" wp14:anchorId="000D2FBF" wp14:editId="14ED73E1">
          <wp:simplePos x="725714" y="682171"/>
          <wp:positionH relativeFrom="page">
            <wp:align>left</wp:align>
          </wp:positionH>
          <wp:positionV relativeFrom="page">
            <wp:align>top</wp:align>
          </wp:positionV>
          <wp:extent cx="7559675" cy="3442970"/>
          <wp:effectExtent l="0" t="0" r="3175" b="5080"/>
          <wp:wrapNone/>
          <wp:docPr id="14"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3"/>
                  <a:stretch>
                    <a:fillRect/>
                  </a:stretch>
                </pic:blipFill>
                <pic:spPr>
                  <a:xfrm>
                    <a:off x="0" y="0"/>
                    <a:ext cx="7559999" cy="34432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1F88F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E72249"/>
    <w:multiLevelType w:val="multilevel"/>
    <w:tmpl w:val="91E21E74"/>
    <w:lvl w:ilvl="0">
      <w:start w:val="1"/>
      <w:numFmt w:val="bullet"/>
      <w:pStyle w:val="ListBullet"/>
      <w:lvlText w:val="•"/>
      <w:lvlJc w:val="left"/>
      <w:pPr>
        <w:ind w:left="360" w:hanging="360"/>
      </w:pPr>
      <w:rPr>
        <w:rFonts w:ascii="Plain Light" w:hAnsi="Plain Light" w:hint="default"/>
        <w:color w:val="auto"/>
      </w:rPr>
    </w:lvl>
    <w:lvl w:ilvl="1">
      <w:start w:val="1"/>
      <w:numFmt w:val="bullet"/>
      <w:pStyle w:val="ListBullet2"/>
      <w:lvlText w:val="–"/>
      <w:lvlJc w:val="left"/>
      <w:pPr>
        <w:ind w:left="720" w:hanging="360"/>
      </w:pPr>
      <w:rPr>
        <w:rFonts w:ascii="font1198" w:hAnsi="font1198" w:hint="default"/>
      </w:rPr>
    </w:lvl>
    <w:lvl w:ilvl="2">
      <w:start w:val="1"/>
      <w:numFmt w:val="bullet"/>
      <w:pStyle w:val="ListBullet3"/>
      <w:lvlText w:val="•"/>
      <w:lvlJc w:val="left"/>
      <w:pPr>
        <w:ind w:left="1080" w:hanging="360"/>
      </w:pPr>
      <w:rPr>
        <w:rFonts w:ascii="Plain Light" w:hAnsi="Plain Light"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8601770"/>
    <w:multiLevelType w:val="hybridMultilevel"/>
    <w:tmpl w:val="A6188A0E"/>
    <w:lvl w:ilvl="0" w:tplc="A2BC77EA">
      <w:start w:val="1"/>
      <w:numFmt w:val="bullet"/>
      <w:lvlText w:val=""/>
      <w:lvlJc w:val="left"/>
      <w:pPr>
        <w:ind w:left="360" w:hanging="360"/>
      </w:pPr>
      <w:rPr>
        <w:rFonts w:ascii="Symbol" w:hAnsi="Symbol" w:hint="default"/>
      </w:rPr>
    </w:lvl>
    <w:lvl w:ilvl="1" w:tplc="CEF4F32E">
      <w:start w:val="1"/>
      <w:numFmt w:val="bullet"/>
      <w:lvlText w:val=""/>
      <w:lvlJc w:val="left"/>
      <w:pPr>
        <w:ind w:left="1352" w:hanging="360"/>
      </w:pPr>
      <w:rPr>
        <w:rFonts w:ascii="Wingdings" w:hAnsi="Wingdings" w:hint="default"/>
        <w:color w:val="000000" w:themeColor="text1"/>
      </w:rPr>
    </w:lvl>
    <w:lvl w:ilvl="2" w:tplc="EA3CBCAA">
      <w:start w:val="1"/>
      <w:numFmt w:val="bullet"/>
      <w:lvlText w:val=""/>
      <w:lvlJc w:val="left"/>
      <w:pPr>
        <w:ind w:left="2160" w:hanging="360"/>
      </w:pPr>
      <w:rPr>
        <w:rFonts w:ascii="Wingdings" w:hAnsi="Wingdings" w:hint="default"/>
      </w:rPr>
    </w:lvl>
    <w:lvl w:ilvl="3" w:tplc="48AC5B82">
      <w:start w:val="1"/>
      <w:numFmt w:val="bullet"/>
      <w:lvlText w:val=""/>
      <w:lvlJc w:val="left"/>
      <w:pPr>
        <w:ind w:left="2880" w:hanging="360"/>
      </w:pPr>
      <w:rPr>
        <w:rFonts w:ascii="Symbol" w:hAnsi="Symbol" w:hint="default"/>
      </w:rPr>
    </w:lvl>
    <w:lvl w:ilvl="4" w:tplc="17E4D0B6">
      <w:start w:val="1"/>
      <w:numFmt w:val="bullet"/>
      <w:lvlText w:val="o"/>
      <w:lvlJc w:val="left"/>
      <w:pPr>
        <w:ind w:left="3600" w:hanging="360"/>
      </w:pPr>
      <w:rPr>
        <w:rFonts w:ascii="Courier New" w:hAnsi="Courier New" w:cs="Courier New" w:hint="default"/>
      </w:rPr>
    </w:lvl>
    <w:lvl w:ilvl="5" w:tplc="8DDA4E02">
      <w:start w:val="1"/>
      <w:numFmt w:val="bullet"/>
      <w:lvlText w:val=""/>
      <w:lvlJc w:val="left"/>
      <w:pPr>
        <w:ind w:left="4320" w:hanging="360"/>
      </w:pPr>
      <w:rPr>
        <w:rFonts w:ascii="Wingdings" w:hAnsi="Wingdings" w:hint="default"/>
      </w:rPr>
    </w:lvl>
    <w:lvl w:ilvl="6" w:tplc="396EB012">
      <w:start w:val="1"/>
      <w:numFmt w:val="bullet"/>
      <w:lvlText w:val=""/>
      <w:lvlJc w:val="left"/>
      <w:pPr>
        <w:ind w:left="5040" w:hanging="360"/>
      </w:pPr>
      <w:rPr>
        <w:rFonts w:ascii="Symbol" w:hAnsi="Symbol" w:hint="default"/>
      </w:rPr>
    </w:lvl>
    <w:lvl w:ilvl="7" w:tplc="284C6FEE">
      <w:start w:val="1"/>
      <w:numFmt w:val="bullet"/>
      <w:lvlText w:val="o"/>
      <w:lvlJc w:val="left"/>
      <w:pPr>
        <w:ind w:left="5760" w:hanging="360"/>
      </w:pPr>
      <w:rPr>
        <w:rFonts w:ascii="Courier New" w:hAnsi="Courier New" w:cs="Courier New" w:hint="default"/>
      </w:rPr>
    </w:lvl>
    <w:lvl w:ilvl="8" w:tplc="9B824BD8">
      <w:start w:val="1"/>
      <w:numFmt w:val="bullet"/>
      <w:lvlText w:val=""/>
      <w:lvlJc w:val="left"/>
      <w:pPr>
        <w:ind w:left="6480" w:hanging="360"/>
      </w:pPr>
      <w:rPr>
        <w:rFonts w:ascii="Wingdings" w:hAnsi="Wingdings" w:hint="default"/>
      </w:rPr>
    </w:lvl>
  </w:abstractNum>
  <w:abstractNum w:abstractNumId="3" w15:restartNumberingAfterBreak="0">
    <w:nsid w:val="43A020BA"/>
    <w:multiLevelType w:val="hybridMultilevel"/>
    <w:tmpl w:val="82C8C32A"/>
    <w:lvl w:ilvl="0" w:tplc="289EA0F8">
      <w:start w:val="1"/>
      <w:numFmt w:val="bullet"/>
      <w:lvlText w:val="o"/>
      <w:lvlJc w:val="left"/>
      <w:pPr>
        <w:ind w:left="720" w:hanging="360"/>
      </w:pPr>
      <w:rPr>
        <w:rFonts w:ascii="Courier New" w:hAnsi="Courier New" w:cs="Courier New" w:hint="default"/>
      </w:rPr>
    </w:lvl>
    <w:lvl w:ilvl="1" w:tplc="CD46B5FE">
      <w:start w:val="1"/>
      <w:numFmt w:val="bullet"/>
      <w:lvlText w:val="o"/>
      <w:lvlJc w:val="left"/>
      <w:pPr>
        <w:ind w:left="1440" w:hanging="360"/>
      </w:pPr>
      <w:rPr>
        <w:rFonts w:ascii="Courier New" w:hAnsi="Courier New" w:cs="Courier New" w:hint="default"/>
      </w:rPr>
    </w:lvl>
    <w:lvl w:ilvl="2" w:tplc="822C6EB8" w:tentative="1">
      <w:start w:val="1"/>
      <w:numFmt w:val="bullet"/>
      <w:lvlText w:val=""/>
      <w:lvlJc w:val="left"/>
      <w:pPr>
        <w:ind w:left="2160" w:hanging="360"/>
      </w:pPr>
      <w:rPr>
        <w:rFonts w:ascii="Wingdings" w:hAnsi="Wingdings" w:hint="default"/>
      </w:rPr>
    </w:lvl>
    <w:lvl w:ilvl="3" w:tplc="EDB6F7D0" w:tentative="1">
      <w:start w:val="1"/>
      <w:numFmt w:val="bullet"/>
      <w:lvlText w:val=""/>
      <w:lvlJc w:val="left"/>
      <w:pPr>
        <w:ind w:left="2880" w:hanging="360"/>
      </w:pPr>
      <w:rPr>
        <w:rFonts w:ascii="Symbol" w:hAnsi="Symbol" w:hint="default"/>
      </w:rPr>
    </w:lvl>
    <w:lvl w:ilvl="4" w:tplc="A994294C" w:tentative="1">
      <w:start w:val="1"/>
      <w:numFmt w:val="bullet"/>
      <w:lvlText w:val="o"/>
      <w:lvlJc w:val="left"/>
      <w:pPr>
        <w:ind w:left="3600" w:hanging="360"/>
      </w:pPr>
      <w:rPr>
        <w:rFonts w:ascii="Courier New" w:hAnsi="Courier New" w:cs="Courier New" w:hint="default"/>
      </w:rPr>
    </w:lvl>
    <w:lvl w:ilvl="5" w:tplc="B1D4950A" w:tentative="1">
      <w:start w:val="1"/>
      <w:numFmt w:val="bullet"/>
      <w:lvlText w:val=""/>
      <w:lvlJc w:val="left"/>
      <w:pPr>
        <w:ind w:left="4320" w:hanging="360"/>
      </w:pPr>
      <w:rPr>
        <w:rFonts w:ascii="Wingdings" w:hAnsi="Wingdings" w:hint="default"/>
      </w:rPr>
    </w:lvl>
    <w:lvl w:ilvl="6" w:tplc="15A6CE3C" w:tentative="1">
      <w:start w:val="1"/>
      <w:numFmt w:val="bullet"/>
      <w:lvlText w:val=""/>
      <w:lvlJc w:val="left"/>
      <w:pPr>
        <w:ind w:left="5040" w:hanging="360"/>
      </w:pPr>
      <w:rPr>
        <w:rFonts w:ascii="Symbol" w:hAnsi="Symbol" w:hint="default"/>
      </w:rPr>
    </w:lvl>
    <w:lvl w:ilvl="7" w:tplc="7F94B572" w:tentative="1">
      <w:start w:val="1"/>
      <w:numFmt w:val="bullet"/>
      <w:lvlText w:val="o"/>
      <w:lvlJc w:val="left"/>
      <w:pPr>
        <w:ind w:left="5760" w:hanging="360"/>
      </w:pPr>
      <w:rPr>
        <w:rFonts w:ascii="Courier New" w:hAnsi="Courier New" w:cs="Courier New" w:hint="default"/>
      </w:rPr>
    </w:lvl>
    <w:lvl w:ilvl="8" w:tplc="815077D4" w:tentative="1">
      <w:start w:val="1"/>
      <w:numFmt w:val="bullet"/>
      <w:lvlText w:val=""/>
      <w:lvlJc w:val="left"/>
      <w:pPr>
        <w:ind w:left="6480" w:hanging="360"/>
      </w:pPr>
      <w:rPr>
        <w:rFonts w:ascii="Wingdings" w:hAnsi="Wingdings" w:hint="default"/>
      </w:rPr>
    </w:lvl>
  </w:abstractNum>
  <w:abstractNum w:abstractNumId="4" w15:restartNumberingAfterBreak="0">
    <w:nsid w:val="6350328D"/>
    <w:multiLevelType w:val="hybridMultilevel"/>
    <w:tmpl w:val="063ED872"/>
    <w:lvl w:ilvl="0" w:tplc="6B5AD1B2">
      <w:start w:val="1"/>
      <w:numFmt w:val="bullet"/>
      <w:lvlText w:val="o"/>
      <w:lvlJc w:val="left"/>
      <w:pPr>
        <w:ind w:left="786" w:hanging="360"/>
      </w:pPr>
      <w:rPr>
        <w:rFonts w:ascii="Courier New" w:hAnsi="Courier New" w:cs="Courier New" w:hint="default"/>
      </w:rPr>
    </w:lvl>
    <w:lvl w:ilvl="1" w:tplc="1E480750">
      <w:start w:val="1"/>
      <w:numFmt w:val="bullet"/>
      <w:lvlText w:val=""/>
      <w:lvlJc w:val="left"/>
      <w:pPr>
        <w:ind w:left="1364" w:hanging="360"/>
      </w:pPr>
      <w:rPr>
        <w:rFonts w:ascii="Wingdings" w:hAnsi="Wingdings" w:hint="default"/>
      </w:rPr>
    </w:lvl>
    <w:lvl w:ilvl="2" w:tplc="F70668DA">
      <w:start w:val="1"/>
      <w:numFmt w:val="bullet"/>
      <w:lvlText w:val=""/>
      <w:lvlJc w:val="left"/>
      <w:pPr>
        <w:ind w:left="2084" w:hanging="360"/>
      </w:pPr>
      <w:rPr>
        <w:rFonts w:ascii="Wingdings" w:hAnsi="Wingdings" w:hint="default"/>
      </w:rPr>
    </w:lvl>
    <w:lvl w:ilvl="3" w:tplc="C9740A1A">
      <w:start w:val="1"/>
      <w:numFmt w:val="bullet"/>
      <w:lvlText w:val=""/>
      <w:lvlJc w:val="left"/>
      <w:pPr>
        <w:ind w:left="2804" w:hanging="360"/>
      </w:pPr>
      <w:rPr>
        <w:rFonts w:ascii="Symbol" w:hAnsi="Symbol" w:hint="default"/>
      </w:rPr>
    </w:lvl>
    <w:lvl w:ilvl="4" w:tplc="E1643574">
      <w:start w:val="1"/>
      <w:numFmt w:val="bullet"/>
      <w:lvlText w:val="o"/>
      <w:lvlJc w:val="left"/>
      <w:pPr>
        <w:ind w:left="3524" w:hanging="360"/>
      </w:pPr>
      <w:rPr>
        <w:rFonts w:ascii="Courier New" w:hAnsi="Courier New" w:cs="Courier New" w:hint="default"/>
      </w:rPr>
    </w:lvl>
    <w:lvl w:ilvl="5" w:tplc="F98AD8FA">
      <w:start w:val="1"/>
      <w:numFmt w:val="bullet"/>
      <w:lvlText w:val=""/>
      <w:lvlJc w:val="left"/>
      <w:pPr>
        <w:ind w:left="4244" w:hanging="360"/>
      </w:pPr>
      <w:rPr>
        <w:rFonts w:ascii="Wingdings" w:hAnsi="Wingdings" w:hint="default"/>
      </w:rPr>
    </w:lvl>
    <w:lvl w:ilvl="6" w:tplc="960A7C2E">
      <w:start w:val="1"/>
      <w:numFmt w:val="bullet"/>
      <w:lvlText w:val=""/>
      <w:lvlJc w:val="left"/>
      <w:pPr>
        <w:ind w:left="4964" w:hanging="360"/>
      </w:pPr>
      <w:rPr>
        <w:rFonts w:ascii="Symbol" w:hAnsi="Symbol" w:hint="default"/>
      </w:rPr>
    </w:lvl>
    <w:lvl w:ilvl="7" w:tplc="63F8AA3C">
      <w:start w:val="1"/>
      <w:numFmt w:val="bullet"/>
      <w:lvlText w:val="o"/>
      <w:lvlJc w:val="left"/>
      <w:pPr>
        <w:ind w:left="5684" w:hanging="360"/>
      </w:pPr>
      <w:rPr>
        <w:rFonts w:ascii="Courier New" w:hAnsi="Courier New" w:cs="Courier New" w:hint="default"/>
      </w:rPr>
    </w:lvl>
    <w:lvl w:ilvl="8" w:tplc="57FA724A">
      <w:start w:val="1"/>
      <w:numFmt w:val="bullet"/>
      <w:lvlText w:val=""/>
      <w:lvlJc w:val="left"/>
      <w:pPr>
        <w:ind w:left="6404" w:hanging="360"/>
      </w:pPr>
      <w:rPr>
        <w:rFonts w:ascii="Wingdings" w:hAnsi="Wingdings" w:hint="default"/>
      </w:rPr>
    </w:lvl>
  </w:abstractNum>
  <w:abstractNum w:abstractNumId="5" w15:restartNumberingAfterBreak="0">
    <w:nsid w:val="652B7A8D"/>
    <w:multiLevelType w:val="multilevel"/>
    <w:tmpl w:val="C40A3E2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430195601">
    <w:abstractNumId w:val="1"/>
  </w:num>
  <w:num w:numId="2" w16cid:durableId="984159531">
    <w:abstractNumId w:val="5"/>
  </w:num>
  <w:num w:numId="3" w16cid:durableId="938022566">
    <w:abstractNumId w:val="0"/>
  </w:num>
  <w:num w:numId="4" w16cid:durableId="1975482803">
    <w:abstractNumId w:val="2"/>
  </w:num>
  <w:num w:numId="5" w16cid:durableId="1600333764">
    <w:abstractNumId w:val="4"/>
  </w:num>
  <w:num w:numId="6" w16cid:durableId="1259288789">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E59"/>
    <w:rsid w:val="000C19F5"/>
    <w:rsid w:val="000C24D7"/>
    <w:rsid w:val="00123FB1"/>
    <w:rsid w:val="001351DF"/>
    <w:rsid w:val="001B41EF"/>
    <w:rsid w:val="001D1906"/>
    <w:rsid w:val="00213A9D"/>
    <w:rsid w:val="00271E9A"/>
    <w:rsid w:val="0032583E"/>
    <w:rsid w:val="00330380"/>
    <w:rsid w:val="0037685B"/>
    <w:rsid w:val="003A1C38"/>
    <w:rsid w:val="00433C38"/>
    <w:rsid w:val="004548F9"/>
    <w:rsid w:val="00457F01"/>
    <w:rsid w:val="00497EC1"/>
    <w:rsid w:val="004B59E3"/>
    <w:rsid w:val="005B3F74"/>
    <w:rsid w:val="00667EA3"/>
    <w:rsid w:val="006826E8"/>
    <w:rsid w:val="006A36CF"/>
    <w:rsid w:val="00722AB7"/>
    <w:rsid w:val="00742E59"/>
    <w:rsid w:val="007513C9"/>
    <w:rsid w:val="007D4376"/>
    <w:rsid w:val="007E29D6"/>
    <w:rsid w:val="00811753"/>
    <w:rsid w:val="00815ABE"/>
    <w:rsid w:val="0081664D"/>
    <w:rsid w:val="00875127"/>
    <w:rsid w:val="00890255"/>
    <w:rsid w:val="008A3297"/>
    <w:rsid w:val="008B4EE1"/>
    <w:rsid w:val="008D4ED7"/>
    <w:rsid w:val="00921EB0"/>
    <w:rsid w:val="00975EAF"/>
    <w:rsid w:val="00A24784"/>
    <w:rsid w:val="00A511F2"/>
    <w:rsid w:val="00AF26E9"/>
    <w:rsid w:val="00B104E2"/>
    <w:rsid w:val="00BC45A6"/>
    <w:rsid w:val="00C43814"/>
    <w:rsid w:val="00C510F4"/>
    <w:rsid w:val="00C637F5"/>
    <w:rsid w:val="00C64746"/>
    <w:rsid w:val="00C90B78"/>
    <w:rsid w:val="00CE299D"/>
    <w:rsid w:val="00D56741"/>
    <w:rsid w:val="00D94528"/>
    <w:rsid w:val="00DC6B79"/>
    <w:rsid w:val="00DE7CA5"/>
    <w:rsid w:val="00E24265"/>
    <w:rsid w:val="00E2626A"/>
    <w:rsid w:val="00E51F2D"/>
    <w:rsid w:val="00E55BE8"/>
    <w:rsid w:val="00ED29EA"/>
    <w:rsid w:val="00EE0CC6"/>
    <w:rsid w:val="00F371ED"/>
    <w:rsid w:val="00F54E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B1AA1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AU" w:eastAsia="en-US"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814"/>
  </w:style>
  <w:style w:type="paragraph" w:styleId="Heading1">
    <w:name w:val="heading 1"/>
    <w:basedOn w:val="Normal"/>
    <w:next w:val="Normal"/>
    <w:link w:val="Heading1Char"/>
    <w:uiPriority w:val="9"/>
    <w:qFormat/>
    <w:rsid w:val="0037685B"/>
    <w:pPr>
      <w:keepNext/>
      <w:keepLines/>
      <w:spacing w:before="360"/>
      <w:outlineLvl w:val="0"/>
    </w:pPr>
    <w:rPr>
      <w:b/>
      <w:bCs/>
      <w:color w:val="000054" w:themeColor="text2"/>
      <w:sz w:val="28"/>
      <w:szCs w:val="28"/>
    </w:rPr>
  </w:style>
  <w:style w:type="paragraph" w:styleId="Heading2">
    <w:name w:val="heading 2"/>
    <w:basedOn w:val="Normal"/>
    <w:next w:val="Normal"/>
    <w:link w:val="Heading2Char"/>
    <w:uiPriority w:val="9"/>
    <w:unhideWhenUsed/>
    <w:qFormat/>
    <w:rsid w:val="0037685B"/>
    <w:pPr>
      <w:keepNext/>
      <w:keepLines/>
      <w:spacing w:before="360"/>
      <w:outlineLvl w:val="1"/>
    </w:pPr>
    <w:rPr>
      <w:b/>
      <w:bCs/>
      <w:color w:val="20A820"/>
      <w:sz w:val="28"/>
      <w:szCs w:val="28"/>
    </w:rPr>
  </w:style>
  <w:style w:type="paragraph" w:styleId="Heading3">
    <w:name w:val="heading 3"/>
    <w:basedOn w:val="Normal"/>
    <w:next w:val="Normal"/>
    <w:link w:val="Heading3Char"/>
    <w:uiPriority w:val="9"/>
    <w:unhideWhenUsed/>
    <w:qFormat/>
    <w:rsid w:val="0037685B"/>
    <w:pPr>
      <w:keepNext/>
      <w:keepLines/>
      <w:spacing w:before="240"/>
      <w:outlineLvl w:val="2"/>
    </w:pPr>
    <w:rPr>
      <w:b/>
      <w:bCs/>
      <w:color w:val="000054" w:themeColor="text2"/>
      <w:sz w:val="24"/>
      <w:szCs w:val="24"/>
    </w:rPr>
  </w:style>
  <w:style w:type="paragraph" w:styleId="Heading4">
    <w:name w:val="heading 4"/>
    <w:basedOn w:val="Normal"/>
    <w:next w:val="Normal"/>
    <w:link w:val="Heading4Char"/>
    <w:uiPriority w:val="9"/>
    <w:unhideWhenUsed/>
    <w:qFormat/>
    <w:rsid w:val="007513C9"/>
    <w:pPr>
      <w:keepNext/>
      <w:keepLines/>
      <w:spacing w:before="240"/>
      <w:outlineLvl w:val="3"/>
    </w:pPr>
    <w:rPr>
      <w:b/>
      <w:bCs/>
      <w:color w:val="000054" w:themeColor="text2"/>
    </w:rPr>
  </w:style>
  <w:style w:type="paragraph" w:styleId="Heading5">
    <w:name w:val="heading 5"/>
    <w:basedOn w:val="Normal"/>
    <w:next w:val="Normal"/>
    <w:link w:val="Heading5Char"/>
    <w:uiPriority w:val="9"/>
    <w:unhideWhenUsed/>
    <w:qFormat/>
    <w:rsid w:val="00B104E2"/>
    <w:pPr>
      <w:keepNext/>
      <w:keepLines/>
      <w:spacing w:before="240"/>
      <w:outlineLvl w:val="4"/>
    </w:pPr>
    <w:rPr>
      <w:b/>
      <w:bCs/>
      <w:color w:val="000054" w:themeColor="text2"/>
    </w:rPr>
  </w:style>
  <w:style w:type="paragraph" w:styleId="Heading6">
    <w:name w:val="heading 6"/>
    <w:basedOn w:val="Normal"/>
    <w:next w:val="Normal"/>
    <w:link w:val="Heading6Char"/>
    <w:uiPriority w:val="9"/>
    <w:semiHidden/>
    <w:unhideWhenUsed/>
    <w:rsid w:val="00330380"/>
    <w:pPr>
      <w:keepNext/>
      <w:keepLines/>
      <w:spacing w:before="40" w:after="0"/>
      <w:outlineLvl w:val="5"/>
    </w:pPr>
    <w:rPr>
      <w:rFonts w:asciiTheme="majorHAnsi" w:eastAsiaTheme="majorEastAsia" w:hAnsiTheme="majorHAnsi" w:cstheme="majorBidi"/>
      <w:color w:val="034E0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85B"/>
    <w:rPr>
      <w:b/>
      <w:bCs/>
      <w:color w:val="000054" w:themeColor="text2"/>
      <w:sz w:val="28"/>
      <w:szCs w:val="28"/>
    </w:rPr>
  </w:style>
  <w:style w:type="character" w:customStyle="1" w:styleId="Heading2Char">
    <w:name w:val="Heading 2 Char"/>
    <w:basedOn w:val="DefaultParagraphFont"/>
    <w:link w:val="Heading2"/>
    <w:uiPriority w:val="9"/>
    <w:rsid w:val="0037685B"/>
    <w:rPr>
      <w:b/>
      <w:bCs/>
      <w:color w:val="20A820"/>
      <w:sz w:val="28"/>
      <w:szCs w:val="28"/>
    </w:rPr>
  </w:style>
  <w:style w:type="character" w:customStyle="1" w:styleId="Heading3Char">
    <w:name w:val="Heading 3 Char"/>
    <w:basedOn w:val="DefaultParagraphFont"/>
    <w:link w:val="Heading3"/>
    <w:uiPriority w:val="9"/>
    <w:rsid w:val="0037685B"/>
    <w:rPr>
      <w:b/>
      <w:bCs/>
      <w:color w:val="000054" w:themeColor="text2"/>
      <w:sz w:val="24"/>
      <w:szCs w:val="24"/>
    </w:rPr>
  </w:style>
  <w:style w:type="paragraph" w:styleId="ListNumber">
    <w:name w:val="List Number"/>
    <w:basedOn w:val="Normal"/>
    <w:uiPriority w:val="99"/>
    <w:unhideWhenUsed/>
    <w:qFormat/>
    <w:rsid w:val="00E24265"/>
    <w:pPr>
      <w:numPr>
        <w:numId w:val="2"/>
      </w:numPr>
      <w:spacing w:after="120"/>
      <w:ind w:left="357" w:hanging="357"/>
    </w:pPr>
  </w:style>
  <w:style w:type="paragraph" w:styleId="ListNumber2">
    <w:name w:val="List Number 2"/>
    <w:basedOn w:val="Normal"/>
    <w:uiPriority w:val="99"/>
    <w:unhideWhenUsed/>
    <w:qFormat/>
    <w:rsid w:val="00E24265"/>
    <w:pPr>
      <w:numPr>
        <w:ilvl w:val="1"/>
        <w:numId w:val="2"/>
      </w:numPr>
      <w:spacing w:after="120"/>
      <w:ind w:left="714" w:hanging="357"/>
    </w:pPr>
  </w:style>
  <w:style w:type="paragraph" w:styleId="ListNumber3">
    <w:name w:val="List Number 3"/>
    <w:basedOn w:val="Normal"/>
    <w:uiPriority w:val="99"/>
    <w:unhideWhenUsed/>
    <w:qFormat/>
    <w:rsid w:val="00E24265"/>
    <w:pPr>
      <w:numPr>
        <w:ilvl w:val="2"/>
        <w:numId w:val="2"/>
      </w:numPr>
      <w:spacing w:after="120"/>
      <w:ind w:left="1077" w:hanging="357"/>
    </w:pPr>
  </w:style>
  <w:style w:type="paragraph" w:styleId="ListBullet">
    <w:name w:val="List Bullet"/>
    <w:basedOn w:val="Normal"/>
    <w:uiPriority w:val="99"/>
    <w:unhideWhenUsed/>
    <w:qFormat/>
    <w:rsid w:val="00E24265"/>
    <w:pPr>
      <w:numPr>
        <w:numId w:val="1"/>
      </w:numPr>
      <w:spacing w:after="120"/>
    </w:pPr>
  </w:style>
  <w:style w:type="paragraph" w:styleId="ListBullet2">
    <w:name w:val="List Bullet 2"/>
    <w:basedOn w:val="Normal"/>
    <w:uiPriority w:val="99"/>
    <w:unhideWhenUsed/>
    <w:qFormat/>
    <w:rsid w:val="00E24265"/>
    <w:pPr>
      <w:numPr>
        <w:ilvl w:val="1"/>
        <w:numId w:val="1"/>
      </w:numPr>
      <w:spacing w:after="120"/>
    </w:pPr>
  </w:style>
  <w:style w:type="paragraph" w:styleId="ListBullet3">
    <w:name w:val="List Bullet 3"/>
    <w:basedOn w:val="Normal"/>
    <w:uiPriority w:val="99"/>
    <w:unhideWhenUsed/>
    <w:qFormat/>
    <w:rsid w:val="00E24265"/>
    <w:pPr>
      <w:numPr>
        <w:ilvl w:val="2"/>
        <w:numId w:val="1"/>
      </w:numPr>
      <w:spacing w:after="120"/>
      <w:ind w:left="1077" w:hanging="357"/>
    </w:pPr>
  </w:style>
  <w:style w:type="paragraph" w:styleId="Header">
    <w:name w:val="header"/>
    <w:basedOn w:val="Normal"/>
    <w:link w:val="HeaderChar"/>
    <w:uiPriority w:val="99"/>
    <w:unhideWhenUsed/>
    <w:rsid w:val="00A511F2"/>
    <w:pPr>
      <w:jc w:val="right"/>
    </w:pPr>
    <w:rPr>
      <w:b/>
      <w:bCs/>
      <w:color w:val="FFFFFF" w:themeColor="background1"/>
      <w:sz w:val="24"/>
      <w:szCs w:val="24"/>
    </w:rPr>
  </w:style>
  <w:style w:type="character" w:customStyle="1" w:styleId="HeaderChar">
    <w:name w:val="Header Char"/>
    <w:basedOn w:val="DefaultParagraphFont"/>
    <w:link w:val="Header"/>
    <w:uiPriority w:val="99"/>
    <w:rsid w:val="00A511F2"/>
    <w:rPr>
      <w:b/>
      <w:bCs/>
      <w:color w:val="FFFFFF" w:themeColor="background1"/>
      <w:sz w:val="24"/>
      <w:szCs w:val="24"/>
    </w:rPr>
  </w:style>
  <w:style w:type="paragraph" w:styleId="Footer">
    <w:name w:val="footer"/>
    <w:basedOn w:val="Normal"/>
    <w:link w:val="FooterChar"/>
    <w:uiPriority w:val="99"/>
    <w:unhideWhenUsed/>
    <w:rsid w:val="000C24D7"/>
    <w:pPr>
      <w:tabs>
        <w:tab w:val="center" w:pos="4513"/>
        <w:tab w:val="right" w:pos="9026"/>
      </w:tabs>
      <w:spacing w:after="0" w:line="240" w:lineRule="auto"/>
    </w:pPr>
    <w:rPr>
      <w:color w:val="000054" w:themeColor="text2"/>
      <w:sz w:val="14"/>
    </w:rPr>
  </w:style>
  <w:style w:type="character" w:customStyle="1" w:styleId="FooterChar">
    <w:name w:val="Footer Char"/>
    <w:basedOn w:val="DefaultParagraphFont"/>
    <w:link w:val="Footer"/>
    <w:uiPriority w:val="99"/>
    <w:rsid w:val="000C24D7"/>
    <w:rPr>
      <w:color w:val="000054" w:themeColor="text2"/>
      <w:sz w:val="14"/>
    </w:rPr>
  </w:style>
  <w:style w:type="character" w:styleId="Strong">
    <w:name w:val="Strong"/>
    <w:basedOn w:val="DefaultParagraphFont"/>
    <w:uiPriority w:val="22"/>
    <w:qFormat/>
    <w:rsid w:val="000C24D7"/>
    <w:rPr>
      <w:b/>
      <w:bCs/>
    </w:rPr>
  </w:style>
  <w:style w:type="character" w:customStyle="1" w:styleId="BoldGreen">
    <w:name w:val="Bold + Green"/>
    <w:basedOn w:val="DefaultParagraphFont"/>
    <w:uiPriority w:val="1"/>
    <w:rsid w:val="00B104E2"/>
    <w:rPr>
      <w:b/>
      <w:color w:val="000054" w:themeColor="text2"/>
    </w:rPr>
  </w:style>
  <w:style w:type="paragraph" w:styleId="Title">
    <w:name w:val="Title"/>
    <w:basedOn w:val="Normal"/>
    <w:next w:val="Normal"/>
    <w:link w:val="TitleChar"/>
    <w:uiPriority w:val="10"/>
    <w:qFormat/>
    <w:rsid w:val="00F371ED"/>
    <w:pPr>
      <w:spacing w:after="480" w:line="216" w:lineRule="auto"/>
    </w:pPr>
    <w:rPr>
      <w:b/>
      <w:bCs/>
      <w:color w:val="FFFFFF" w:themeColor="background1"/>
      <w:sz w:val="60"/>
      <w:szCs w:val="60"/>
    </w:rPr>
  </w:style>
  <w:style w:type="character" w:customStyle="1" w:styleId="TitleChar">
    <w:name w:val="Title Char"/>
    <w:basedOn w:val="DefaultParagraphFont"/>
    <w:link w:val="Title"/>
    <w:uiPriority w:val="10"/>
    <w:rsid w:val="00F371ED"/>
    <w:rPr>
      <w:b/>
      <w:bCs/>
      <w:color w:val="FFFFFF" w:themeColor="background1"/>
      <w:sz w:val="60"/>
      <w:szCs w:val="60"/>
    </w:rPr>
  </w:style>
  <w:style w:type="paragraph" w:styleId="Subtitle">
    <w:name w:val="Subtitle"/>
    <w:basedOn w:val="Normal"/>
    <w:next w:val="Normal"/>
    <w:link w:val="SubtitleChar"/>
    <w:uiPriority w:val="11"/>
    <w:qFormat/>
    <w:rsid w:val="00F371ED"/>
    <w:pPr>
      <w:spacing w:after="120" w:line="240" w:lineRule="auto"/>
      <w:ind w:left="2937"/>
    </w:pPr>
    <w:rPr>
      <w:color w:val="FFFFFF" w:themeColor="background1"/>
      <w:sz w:val="18"/>
      <w:szCs w:val="18"/>
    </w:rPr>
  </w:style>
  <w:style w:type="character" w:customStyle="1" w:styleId="SubtitleChar">
    <w:name w:val="Subtitle Char"/>
    <w:basedOn w:val="DefaultParagraphFont"/>
    <w:link w:val="Subtitle"/>
    <w:uiPriority w:val="11"/>
    <w:rsid w:val="00F371ED"/>
    <w:rPr>
      <w:color w:val="FFFFFF" w:themeColor="background1"/>
      <w:sz w:val="18"/>
      <w:szCs w:val="18"/>
    </w:rPr>
  </w:style>
  <w:style w:type="paragraph" w:customStyle="1" w:styleId="IssueDateURL">
    <w:name w:val="Issue | Date | URL"/>
    <w:basedOn w:val="Normal"/>
    <w:qFormat/>
    <w:rsid w:val="00F371ED"/>
    <w:pPr>
      <w:tabs>
        <w:tab w:val="right" w:pos="9638"/>
      </w:tabs>
      <w:spacing w:before="480" w:after="280" w:line="240" w:lineRule="auto"/>
      <w:ind w:left="2937"/>
    </w:pPr>
    <w:rPr>
      <w:color w:val="FFFFFF" w:themeColor="background1"/>
      <w:sz w:val="18"/>
      <w:szCs w:val="18"/>
    </w:rPr>
  </w:style>
  <w:style w:type="character" w:customStyle="1" w:styleId="BoldNavy">
    <w:name w:val="Bold + Navy"/>
    <w:basedOn w:val="DefaultParagraphFont"/>
    <w:uiPriority w:val="1"/>
    <w:rsid w:val="00433C38"/>
    <w:rPr>
      <w:b/>
      <w:bCs/>
      <w:color w:val="000054" w:themeColor="text2"/>
    </w:rPr>
  </w:style>
  <w:style w:type="table" w:styleId="TableGrid">
    <w:name w:val="Table Grid"/>
    <w:basedOn w:val="TableNormal"/>
    <w:uiPriority w:val="39"/>
    <w:rsid w:val="0013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PTable01Default">
    <w:name w:val="AFP Table 01 Default"/>
    <w:basedOn w:val="TableNormal"/>
    <w:uiPriority w:val="99"/>
    <w:rsid w:val="001351DF"/>
    <w:pPr>
      <w:spacing w:before="100" w:after="100" w:line="216" w:lineRule="auto"/>
    </w:pPr>
    <w:rPr>
      <w:sz w:val="18"/>
    </w:rPr>
    <w:tblPr>
      <w:tblStyleRowBandSize w:val="1"/>
      <w:tblStyleColBandSize w:val="1"/>
      <w:tblBorders>
        <w:top w:val="single" w:sz="4" w:space="0" w:color="0032B4" w:themeColor="accent4"/>
        <w:bottom w:val="single" w:sz="4" w:space="0" w:color="0032B4" w:themeColor="accent4"/>
        <w:insideH w:val="single" w:sz="4" w:space="0" w:color="0032B4" w:themeColor="accent4"/>
      </w:tblBorders>
    </w:tblPr>
    <w:tcPr>
      <w:vAlign w:val="bottom"/>
    </w:tcPr>
    <w:tblStylePr w:type="firstRow">
      <w:rPr>
        <w:b/>
        <w:color w:val="0032B4" w:themeColor="accent4"/>
        <w:sz w:val="20"/>
      </w:rPr>
      <w:tblPr/>
      <w:tcPr>
        <w:tcBorders>
          <w:top w:val="nil"/>
          <w:left w:val="nil"/>
          <w:bottom w:val="single" w:sz="8" w:space="0" w:color="0032B4" w:themeColor="accent4"/>
          <w:right w:val="nil"/>
          <w:insideH w:val="nil"/>
          <w:insideV w:val="nil"/>
          <w:tl2br w:val="nil"/>
          <w:tr2bl w:val="nil"/>
        </w:tcBorders>
      </w:tcPr>
    </w:tblStylePr>
    <w:tblStylePr w:type="lastRow">
      <w:rPr>
        <w:b/>
      </w:rPr>
      <w:tblPr/>
      <w:tcPr>
        <w:shd w:val="clear" w:color="auto" w:fill="F6FCFE"/>
      </w:tcPr>
    </w:tblStylePr>
    <w:tblStylePr w:type="firstCol">
      <w:rPr>
        <w:b/>
      </w:rPr>
    </w:tblStylePr>
    <w:tblStylePr w:type="band2Vert">
      <w:tblPr/>
      <w:tcPr>
        <w:shd w:val="clear" w:color="auto" w:fill="F6FCFE"/>
      </w:tcPr>
    </w:tblStylePr>
    <w:tblStylePr w:type="band2Horz">
      <w:tblPr/>
      <w:tcPr>
        <w:shd w:val="clear" w:color="auto" w:fill="F6FCFE"/>
      </w:tcPr>
    </w:tblStylePr>
  </w:style>
  <w:style w:type="paragraph" w:styleId="Date">
    <w:name w:val="Date"/>
    <w:basedOn w:val="Normal"/>
    <w:next w:val="Normal"/>
    <w:link w:val="DateChar"/>
    <w:uiPriority w:val="99"/>
    <w:unhideWhenUsed/>
    <w:rsid w:val="008D4ED7"/>
    <w:rPr>
      <w:b/>
      <w:bCs/>
      <w:color w:val="000054" w:themeColor="text2"/>
    </w:rPr>
  </w:style>
  <w:style w:type="character" w:customStyle="1" w:styleId="DateChar">
    <w:name w:val="Date Char"/>
    <w:basedOn w:val="DefaultParagraphFont"/>
    <w:link w:val="Date"/>
    <w:uiPriority w:val="99"/>
    <w:rsid w:val="008D4ED7"/>
    <w:rPr>
      <w:b/>
      <w:bCs/>
      <w:color w:val="000054" w:themeColor="text2"/>
    </w:rPr>
  </w:style>
  <w:style w:type="character" w:customStyle="1" w:styleId="Heading4Char">
    <w:name w:val="Heading 4 Char"/>
    <w:basedOn w:val="DefaultParagraphFont"/>
    <w:link w:val="Heading4"/>
    <w:uiPriority w:val="9"/>
    <w:rsid w:val="007513C9"/>
    <w:rPr>
      <w:b/>
      <w:bCs/>
      <w:color w:val="000054" w:themeColor="text2"/>
    </w:rPr>
  </w:style>
  <w:style w:type="character" w:customStyle="1" w:styleId="Heading5Char">
    <w:name w:val="Heading 5 Char"/>
    <w:basedOn w:val="DefaultParagraphFont"/>
    <w:link w:val="Heading5"/>
    <w:uiPriority w:val="9"/>
    <w:rsid w:val="00B104E2"/>
    <w:rPr>
      <w:b/>
      <w:bCs/>
      <w:color w:val="000054" w:themeColor="text2"/>
    </w:rPr>
  </w:style>
  <w:style w:type="character" w:customStyle="1" w:styleId="Heading6Char">
    <w:name w:val="Heading 6 Char"/>
    <w:basedOn w:val="DefaultParagraphFont"/>
    <w:link w:val="Heading6"/>
    <w:uiPriority w:val="9"/>
    <w:semiHidden/>
    <w:rsid w:val="00330380"/>
    <w:rPr>
      <w:rFonts w:asciiTheme="majorHAnsi" w:eastAsiaTheme="majorEastAsia" w:hAnsiTheme="majorHAnsi" w:cstheme="majorBidi"/>
      <w:color w:val="034E03" w:themeColor="accent1" w:themeShade="7F"/>
    </w:rPr>
  </w:style>
  <w:style w:type="paragraph" w:customStyle="1" w:styleId="Spacer-pg1">
    <w:name w:val="Spacer - pg 1"/>
    <w:basedOn w:val="Normal"/>
    <w:rsid w:val="00F371ED"/>
    <w:pPr>
      <w:spacing w:after="360"/>
    </w:pPr>
  </w:style>
  <w:style w:type="paragraph" w:customStyle="1" w:styleId="Spacer-pg2">
    <w:name w:val="Spacer - pg 2"/>
    <w:basedOn w:val="Normal"/>
    <w:rsid w:val="00667EA3"/>
    <w:pPr>
      <w:spacing w:after="960"/>
    </w:pPr>
  </w:style>
  <w:style w:type="paragraph" w:customStyle="1" w:styleId="CalltoActionHeading">
    <w:name w:val="Call to Action Heading"/>
    <w:basedOn w:val="Normal"/>
    <w:qFormat/>
    <w:rsid w:val="007513C9"/>
    <w:pPr>
      <w:framePr w:wrap="notBeside" w:hAnchor="text" w:yAlign="bottom" w:anchorLock="1"/>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spacing w:after="240"/>
      <w:ind w:left="227" w:right="227"/>
    </w:pPr>
    <w:rPr>
      <w:b/>
      <w:bCs/>
      <w:color w:val="FFFFFF" w:themeColor="background1"/>
      <w:sz w:val="24"/>
      <w:szCs w:val="24"/>
    </w:rPr>
  </w:style>
  <w:style w:type="paragraph" w:customStyle="1" w:styleId="CalltoAction">
    <w:name w:val="Call to Action"/>
    <w:basedOn w:val="CalltoActionHeading"/>
    <w:qFormat/>
    <w:rsid w:val="00ED29EA"/>
    <w:pPr>
      <w:framePr w:wrap="notBeside"/>
      <w:spacing w:after="0"/>
    </w:pPr>
    <w:rPr>
      <w:sz w:val="20"/>
      <w:szCs w:val="20"/>
    </w:rPr>
  </w:style>
  <w:style w:type="character" w:customStyle="1" w:styleId="BoldRed">
    <w:name w:val="Bold + Red"/>
    <w:basedOn w:val="DefaultParagraphFont"/>
    <w:uiPriority w:val="1"/>
    <w:rsid w:val="00F371ED"/>
    <w:rPr>
      <w:b/>
      <w:color w:val="46BE3C" w:themeColor="accent2"/>
    </w:rPr>
  </w:style>
  <w:style w:type="paragraph" w:styleId="ListParagraph">
    <w:name w:val="List Paragraph"/>
    <w:aliases w:val="List Paragraph1,Recommendation,List Paragraph11,TOC style,lp1,Bullet OSM,Proposal Bullet List,List Paragraph111,L,F5 List Paragraph,Dot pt,CV text,Medium Grid 1 - Accent 21,Numbered Paragraph,Bullets,NAST Quote,Bullet Number,lp11"/>
    <w:basedOn w:val="Normal"/>
    <w:link w:val="ListParagraphChar"/>
    <w:uiPriority w:val="34"/>
    <w:qFormat/>
    <w:rsid w:val="00742E59"/>
    <w:pPr>
      <w:spacing w:after="80" w:line="276" w:lineRule="auto"/>
      <w:contextualSpacing/>
    </w:pPr>
    <w:rPr>
      <w:sz w:val="22"/>
      <w:szCs w:val="22"/>
    </w:rPr>
  </w:style>
  <w:style w:type="character" w:styleId="Hyperlink">
    <w:name w:val="Hyperlink"/>
    <w:basedOn w:val="DefaultParagraphFont"/>
    <w:uiPriority w:val="99"/>
    <w:unhideWhenUsed/>
    <w:rsid w:val="00742E59"/>
    <w:rPr>
      <w:color w:val="000054" w:themeColor="hyperlink"/>
      <w:u w:val="single"/>
    </w:rPr>
  </w:style>
  <w:style w:type="character" w:customStyle="1" w:styleId="ListParagraphChar">
    <w:name w:val="List Paragraph Char"/>
    <w:aliases w:val="List Paragraph1 Char,Recommendation Char,List Paragraph11 Char,TOC style Char,lp1 Char,Bullet OSM Char,Proposal Bullet List Char,List Paragraph111 Char,L Char,F5 List Paragraph Char,Dot pt Char,CV text Char,Numbered Paragraph Char"/>
    <w:basedOn w:val="DefaultParagraphFont"/>
    <w:link w:val="ListParagraph"/>
    <w:uiPriority w:val="34"/>
    <w:qFormat/>
    <w:rsid w:val="00742E5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fety.gov.au/re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tline@nationalsecurity.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fp.gov.au/contact-us/report-commonwealth-crim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forms.afp.gov.au/online_forms/report_a_crim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FP 01">
      <a:dk1>
        <a:sysClr val="windowText" lastClr="000000"/>
      </a:dk1>
      <a:lt1>
        <a:sysClr val="window" lastClr="FFFFFF"/>
      </a:lt1>
      <a:dk2>
        <a:srgbClr val="000054"/>
      </a:dk2>
      <a:lt2>
        <a:srgbClr val="F0F0F0"/>
      </a:lt2>
      <a:accent1>
        <a:srgbClr val="069E06"/>
      </a:accent1>
      <a:accent2>
        <a:srgbClr val="46BE3C"/>
      </a:accent2>
      <a:accent3>
        <a:srgbClr val="000054"/>
      </a:accent3>
      <a:accent4>
        <a:srgbClr val="0032B4"/>
      </a:accent4>
      <a:accent5>
        <a:srgbClr val="62B5EC"/>
      </a:accent5>
      <a:accent6>
        <a:srgbClr val="B9E1FC"/>
      </a:accent6>
      <a:hlink>
        <a:srgbClr val="000054"/>
      </a:hlink>
      <a:folHlink>
        <a:srgbClr val="000054"/>
      </a:folHlink>
    </a:clrScheme>
    <a:fontScheme name="AFP">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7D50A-C91F-4A62-965A-450751A6E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7122</Characters>
  <Application>Microsoft Office Word</Application>
  <DocSecurity>0</DocSecurity>
  <Lines>134</Lines>
  <Paragraphs>97</Paragraphs>
  <ScaleCrop>false</ScaleCrop>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Interference in the Community factsheet - North Azerbajani</dc:title>
  <dc:subject/>
  <dc:creator/>
  <cp:keywords>[SEC=UNOFFICIAL]</cp:keywords>
  <dc:description/>
  <cp:lastModifiedBy/>
  <cp:revision>1</cp:revision>
  <dcterms:created xsi:type="dcterms:W3CDTF">2025-04-15T22:50:00Z</dcterms:created>
  <dcterms:modified xsi:type="dcterms:W3CDTF">2025-04-15T22:50:00Z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Expires">
    <vt:lpwstr/>
  </property>
  <property fmtid="{D5CDD505-2E9C-101B-9397-08002B2CF9AE}" pid="4" name="PM_DisplayValueSecClassificationWithQualifier">
    <vt:lpwstr>UNOFFICIAL</vt:lpwstr>
  </property>
  <property fmtid="{D5CDD505-2E9C-101B-9397-08002B2CF9AE}" pid="5" name="PM_InsertionValue">
    <vt:lpwstr>UNOFFICIAL</vt:lpwstr>
  </property>
  <property fmtid="{D5CDD505-2E9C-101B-9397-08002B2CF9AE}" pid="6" name="PM_Originator_Hash_SHA1">
    <vt:lpwstr>E4B5684D3C5806FA6E307D6EFA3630C2487912EC</vt:lpwstr>
  </property>
  <property fmtid="{D5CDD505-2E9C-101B-9397-08002B2CF9AE}" pid="7" name="PM_Originating_FileId">
    <vt:lpwstr>2B6230F17D2E4E5F932C3BBCCE5EE598</vt:lpwstr>
  </property>
  <property fmtid="{D5CDD505-2E9C-101B-9397-08002B2CF9AE}" pid="8" name="PM_ProtectiveMarkingValue_Footer">
    <vt:lpwstr>UNOFFICIAL</vt:lpwstr>
  </property>
  <property fmtid="{D5CDD505-2E9C-101B-9397-08002B2CF9AE}" pid="9" name="PM_OriginationTimeStamp">
    <vt:lpwstr>2023-03-22T23:12:43Z</vt:lpwstr>
  </property>
  <property fmtid="{D5CDD505-2E9C-101B-9397-08002B2CF9AE}" pid="10" name="PM_ProtectiveMarkingValue_Header">
    <vt:lpwstr>UNOFFICIAL</vt:lpwstr>
  </property>
  <property fmtid="{D5CDD505-2E9C-101B-9397-08002B2CF9AE}" pid="11" name="PM_ProtectiveMarkingImage_Footer">
    <vt:lpwstr>C:\Program Files (x86)\Common Files\janusNET Shared\janusSEAL\Images\DocumentSlashBlue.png</vt:lpwstr>
  </property>
  <property fmtid="{D5CDD505-2E9C-101B-9397-08002B2CF9AE}" pid="12" name="PM_Hash_Version">
    <vt:lpwstr>2022.1</vt:lpwstr>
  </property>
  <property fmtid="{D5CDD505-2E9C-101B-9397-08002B2CF9AE}" pid="13" name="PM_Hash_Salt_Prev">
    <vt:lpwstr>C4D2C320EE819294B0E9D690CE9A86B8</vt:lpwstr>
  </property>
  <property fmtid="{D5CDD505-2E9C-101B-9397-08002B2CF9AE}" pid="14" name="PM_Hash_Salt">
    <vt:lpwstr>680C040488E8659ACC7714C1BDA8254C</vt:lpwstr>
  </property>
  <property fmtid="{D5CDD505-2E9C-101B-9397-08002B2CF9AE}" pid="15" name="PM_Hash_SHA1">
    <vt:lpwstr>6C08D8035E7105C958000F115BF6E9B7101A775B</vt:lpwstr>
  </property>
  <property fmtid="{D5CDD505-2E9C-101B-9397-08002B2CF9AE}" pid="16" name="PM_SecurityClassification_Prev">
    <vt:lpwstr>UNOFFICIAL</vt:lpwstr>
  </property>
  <property fmtid="{D5CDD505-2E9C-101B-9397-08002B2CF9AE}" pid="17" name="PM_Qualifier_Prev">
    <vt:lpwstr/>
  </property>
  <property fmtid="{D5CDD505-2E9C-101B-9397-08002B2CF9AE}" pid="18" name="PM_Display">
    <vt:lpwstr>UNOFFICIAL</vt:lpwstr>
  </property>
  <property fmtid="{D5CDD505-2E9C-101B-9397-08002B2CF9AE}" pid="19" name="PM_OriginatorUserAccountName_SHA256">
    <vt:lpwstr>8E7567099569DD0600041D32E0F283CEE03250D1C5001B4E2BE4E732AA372511</vt:lpwstr>
  </property>
  <property fmtid="{D5CDD505-2E9C-101B-9397-08002B2CF9AE}" pid="20" name="PM_OriginatorDomainName_SHA256">
    <vt:lpwstr>1A16506C29DAA174E9B6A8C9633D4B0D80EF29B0AB627D4EEB8F5BAE6DAF3AA7</vt:lpwstr>
  </property>
  <property fmtid="{D5CDD505-2E9C-101B-9397-08002B2CF9AE}" pid="21" name="PMUuid">
    <vt:lpwstr>v=2022.2;d=gov.au;g=65417EFE-F3B9-5E66-BD91-1E689FEC2EA6</vt:lpwstr>
  </property>
  <property fmtid="{D5CDD505-2E9C-101B-9397-08002B2CF9AE}" pid="22" name="PM_Namespace">
    <vt:lpwstr>gov.au</vt:lpwstr>
  </property>
  <property fmtid="{D5CDD505-2E9C-101B-9397-08002B2CF9AE}" pid="23" name="PM_Version">
    <vt:lpwstr>2018.1</vt:lpwstr>
  </property>
  <property fmtid="{D5CDD505-2E9C-101B-9397-08002B2CF9AE}" pid="24" name="PM_SecurityClassification">
    <vt:lpwstr>UNOFFICIAL</vt:lpwstr>
  </property>
  <property fmtid="{D5CDD505-2E9C-101B-9397-08002B2CF9AE}" pid="25" name="PMHMAC">
    <vt:lpwstr>v=2022.1;a=SHA256;h=387E9CC93CBDC8F53FCA9A4D42CC9425C2789F5BA4CAA37E6BF97EE252CABBAB</vt:lpwstr>
  </property>
  <property fmtid="{D5CDD505-2E9C-101B-9397-08002B2CF9AE}" pid="26" name="PM_Qualifier">
    <vt:lpwstr/>
  </property>
  <property fmtid="{D5CDD505-2E9C-101B-9397-08002B2CF9AE}" pid="27" name="PM_Note">
    <vt:lpwstr/>
  </property>
  <property fmtid="{D5CDD505-2E9C-101B-9397-08002B2CF9AE}" pid="28" name="PM_Markers">
    <vt:lpwstr/>
  </property>
  <property fmtid="{D5CDD505-2E9C-101B-9397-08002B2CF9AE}" pid="29" name="PM_Caveats_Count">
    <vt:lpwstr>0</vt:lpwstr>
  </property>
  <property fmtid="{D5CDD505-2E9C-101B-9397-08002B2CF9AE}" pid="30" name="PM_DownTo">
    <vt:lpwstr/>
  </property>
</Properties>
</file>